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КОМУНАЛЬНИЙ ЗАКЛАД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«ХАРКІВСЬКА СПЕЦІАЛЬНА ШКОЛА № 5» 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ХАРКІВСЬКОЇ ОБЛАСНОЇ РАДИ</w:t>
      </w: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</w:t>
      </w:r>
    </w:p>
    <w:tbl>
      <w:tblPr>
        <w:tblStyle w:val="a5"/>
        <w:tblW w:w="95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C34B56">
        <w:trPr>
          <w:jc w:val="center"/>
        </w:trPr>
        <w:tc>
          <w:tcPr>
            <w:tcW w:w="3190" w:type="dxa"/>
          </w:tcPr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02.06.2025</w:t>
            </w:r>
          </w:p>
        </w:tc>
        <w:tc>
          <w:tcPr>
            <w:tcW w:w="3190" w:type="dxa"/>
          </w:tcPr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Харків</w:t>
            </w:r>
          </w:p>
        </w:tc>
        <w:tc>
          <w:tcPr>
            <w:tcW w:w="3191" w:type="dxa"/>
          </w:tcPr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65-о</w:t>
            </w:r>
          </w:p>
        </w:tc>
      </w:tr>
    </w:tbl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підсумки роботи щодо попередження та профілактики правопорушень, злочинності та наркоманії серед учнів за ІІ семестр 2024/2025 навчального року</w:t>
      </w:r>
    </w:p>
    <w:p w:rsidR="00C34B56" w:rsidRDefault="008B7E75" w:rsidP="00DF15B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виконання Законів України «Про профілактику правопорушень», «Про освіту», «Про соціальну роботу з сім'ями, дітьми та молоддю», «Про охорону дитинства»,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«Про внесення змін до деяких законодавчих актів України щодо протидії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булінгу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(цькуванню)»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Указу Президента</w:t>
      </w:r>
      <w:r w:rsid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від 28.01.2000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113/2000 «Про додаткові заходи запобігання дитячій бездоглядності» (зі змінами), наказу Міністерства освіти і науки, молоді та спорту України від 25.11.2011 № 1358 «Про виконання розпорядження Кабінету Міністрів України від 12 жовтня 2011 р. № 1039 «Про затвердження плану заходів щодо реалізації Концепції розвитку кримінальної юстиції щодо неповнолітніх в Україні», листів Міністерства освіти та науки України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від 29.01.2019 №1/11-881 «Рекомендації для закладів освіти щодо застосувань норм Закону України щодо протидії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булінгу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F15B9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DF15B9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DF15B9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F15B9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DF15B9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F15B9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1/21639</w:t>
      </w:r>
      <w:r w:rsidR="00DF15B9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DF15B9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F15B9" w:rsidRPr="00037CD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037CD9"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r w:rsidR="00037CD9" w:rsidRPr="00037CD9">
        <w:rPr>
          <w:rFonts w:ascii="Times New Roman" w:hAnsi="Times New Roman" w:cs="Times New Roman"/>
          <w:sz w:val="28"/>
          <w:szCs w:val="28"/>
        </w:rPr>
        <w:t>Про методичні рекомендації щодо організації виховного процесу в закладах освіти</w:t>
      </w:r>
      <w:r w:rsidR="00DF15B9"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  <w:r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річного плану роботи Комунального закладу «Харківська спеціальна школа № 5» Харківської обласної ради (далі – КЗ «ХСШ № 5» ХОР) на 202</w:t>
      </w:r>
      <w:r w:rsidR="00037CD9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037CD9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навчальний рік проведено аналіз роботи з питань попередження та профілактики правопорушень, злочинності серед неповнолітніх за ІІ півріччя 202</w:t>
      </w:r>
      <w:r w:rsidR="00037CD9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037CD9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навчального року. З метою проведення профілактичної роботи з попередження злочинних проявів серед дітей та учнівської молоді,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 А К А З У Ю:</w:t>
      </w:r>
    </w:p>
    <w:p w:rsidR="00C34B56" w:rsidRDefault="008B7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Заступнику директора з виховної роботи КЗ «</w:t>
      </w:r>
      <w:r w:rsid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ХСШ № 5» ХОР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Start"/>
      <w:r w:rsidR="0010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ЛАВРИКОВІЙ:</w:t>
      </w:r>
    </w:p>
    <w:p w:rsidR="00C34B56" w:rsidRDefault="008B7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Довести інформацію про підсумки роботи з попередження та профілактики правопорушень, злочинності серед неповнолітніх за ІІ півріччя 2024/2025 навчального року до відома педагогічних</w:t>
      </w:r>
      <w:r w:rsid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працівників закладу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(додаток 1).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6804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06.06.2025</w:t>
      </w:r>
    </w:p>
    <w:p w:rsidR="00C34B56" w:rsidRDefault="008B7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Забезпечити виконання в КЗ «ХСШ № 5» ХОР, в межах компетенції, </w:t>
      </w:r>
      <w:r w:rsidR="00DF15B9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аконів України «Про запобігання та протидію домашньому насильству», «Про внесення змін до деяких законодавчих актів України щодо протидії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(цькуванню)», наказу Міністерства освіти і науки України від 02.10.2018 № 1047 «Про затвердження Методичних рекомендацій щодо виявлення,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реагування на випадки домашнього насильства і взаємодії педагогічних працівників із іншими органами та службами».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6804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</w:p>
    <w:p w:rsidR="00C34B56" w:rsidRDefault="008B7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 чітке дотримання вимог Порядку взаємодії органів державної влади, органів місцевого самоврядування, організацій та установ під час забезпечення соціального захисту вихованців КЗ «ХСШ № 5» ХОР, які перебувають у складних життєвих обставинах, у тому числі таких, що можуть загрожувати їх життю та здоров’ю, затвердженого постановою Кабінету Міністрів України від 3 жовтня 2018 р. № 800.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6804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</w:p>
    <w:p w:rsidR="00C34B56" w:rsidRDefault="008B7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Взяти під особистий контроль питання своєчасного інформування Служби у справах дітей по Шевченківському району Департаменту служб у справах дітей Харківської міської ради, </w:t>
      </w:r>
      <w:r w:rsidR="00DF15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Національної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поліції про здобувачів освіти (вихованців), які вчиняють насильство, булінг, правопорушення та злочини, не відвідують заняття без поважних причин; притягнення до відповідальності батьків, які не займаються вихованням дітей, порушують права дітей; виявлення та постановки на облік родин з дітьми, у яких батьки схильні до вживання алкогольних напоїв та наркотичних речовин, вчинення домашнього насильства.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6804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</w:p>
    <w:p w:rsidR="00C34B56" w:rsidRDefault="008B7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Забезпечити безумовне виконання постанови Кабінету Міністрів України від 13.09.2017 № 684 «Про затвердження Порядку ведення обліку дітей шкільного віку та учнів»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(зі змінами)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частині невідкладного надання даних здобувачів освіти, які не досягли повноліття і відсутні на навчальних заняттях протягом 10 робочих днів підряд з невідомих або без поважних причин, відповідному територіальному органу Національної поліції та службі у справах дітей для провадження діяльності відповідно до законодавства, пов’язаної із захистом їх прав на здобуття загальної середньої освіти.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2025/2026 н. р.</w:t>
      </w:r>
    </w:p>
    <w:p w:rsidR="00C34B56" w:rsidRDefault="008B7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 надання відповідних аналітичних інформацій про стан роботи КЗ «ХСШ № 5» ХОР з вказаних питань до Департаменту науки і освіти Харківської обласної державної адміністрації.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планом роботи КЗ «ХСШ № 5» ХОР</w:t>
      </w:r>
    </w:p>
    <w:p w:rsidR="00C34B56" w:rsidRDefault="008B7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 час проведення засідань методичного об’єднання вихователів забезпечити розгляд питання вивчення та поширення </w:t>
      </w:r>
      <w:r w:rsidR="0010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кращого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педагогічного досвіду з питань попередження дитячої та підліткової злочинності.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680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Жовтень 2025 року</w:t>
      </w:r>
    </w:p>
    <w:p w:rsidR="00C34B56" w:rsidRDefault="008B7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Психологічній службі КЗ «ХСШ № 5» ХОР:</w:t>
      </w:r>
    </w:p>
    <w:p w:rsidR="00C34B56" w:rsidRDefault="008B7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Знайомити педагогічних працівників з нормативними документами щодо попередження правопорушень та злочинності серед неповнолітніх.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left="6804" w:firstLine="11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Розміщувати актуальну інформацію на сайті закладу про працівників відділу ювенальної превенції Харківського районного управління поліції № 3 ГУНП України в Харківській області, закріплених за закладом. Поширити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серед учасників освітнього процесу інформацію про Національну дитячу «гарячу лінію» - 116-111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left="6804" w:firstLine="11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</w:p>
    <w:p w:rsidR="00C34B56" w:rsidRDefault="008B7E7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 проведення профілактичної роботи в рамках Всеукраїнської інформаційної кампанії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Cтоп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 метою запобігання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15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КЗ «ХСШ № 5» ХОР.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І півріччя 2025/2026 н. р.</w:t>
      </w:r>
    </w:p>
    <w:p w:rsidR="00C34B56" w:rsidRDefault="008B7E7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 складання та виконання планів індивідуального психолого-соціально-педагогічного супроводу дітей девіантної поведінки та дітей, які опинилися в складних життєвих обставинах.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2025/2026 н. р.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Забезпечити проведення роз’яснювальної роботи щодо негативного впливу наркотиків, алкоголю, тютюнопаління на організм дитини.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2025/2026 н. р.</w:t>
      </w:r>
    </w:p>
    <w:p w:rsidR="00C34B56" w:rsidRDefault="008B7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Класним керівникам, вихователям: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Проводити профілактичну роботу з учнями, які систематично пропускають уроки без поважних причин, сх</w:t>
      </w:r>
      <w:r w:rsid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ильні до вчинення антигромадськи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дій, вживання спиртних напоїв.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2025/2026 н. р.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Впроваджувати інтерактивні форми роботи за навчально-методичним посібником «Організація роботи з розв’язання проблем насильства в школі». Продовжувати проведення роз’яснювальної роботи щодо негативного впливу наркотиків, алкоголю, тютюнопаління на організм дитини.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2025/2026 н. р.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Негайно повідомляти керівництво КЗ «ХСШ № 5» ХОР про </w:t>
      </w:r>
      <w:r w:rsidR="0010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виявлені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(цькування) стосовно здобувачів освіти, педагогічних працівників, інших осіб, які залучаються до освітнього процесу, свідком якого вони були особисто або інформацію про які отримали від інших осіб. Вживати невідкладних заходів для припинення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(цькування).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left="6804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Забезпечити проведення соціально-психологічної діяльності, педагогічно зорієнтовану на протидію втягування дітей і молоді в негативні ситуації.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left="680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Проводити просвітницьку роботу спільно зі фахівцями Служби у справах дітей по Шевченківському району Департаменту служб у справах дітей Харківської міської ради, відділом ювенальної превенції Харківського районного управління поліції № 3 ГУНП України в Харківській області, щодо підвищення рівня правової обізнаності батьків про відповідальність за виховання власних дітей та організацію їх змістовного дозвілля, рухової активності та відпочинку в позаурочний час, про дотримання вимог законодавства щодо запобігання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домашнього насильства.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2025/2026 н. р.</w:t>
      </w:r>
    </w:p>
    <w:p w:rsidR="00C34B56" w:rsidRDefault="008B7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наказу залишаю за собою.</w:t>
      </w: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 закладу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Олена МІРОШНИК</w:t>
      </w:r>
    </w:p>
    <w:p w:rsidR="00DF15B9" w:rsidRDefault="00DF15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 до наказу Комунального закладу «Харківська спеціальна школа № 5» Харківської обласної ради від 02.06.2025 № 65-о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підсумки роботи Комунального закладу «Харківська спеціальна школа № 5» Харківської обласної ради з попередження та профілактики правопорушень, злочинності  та наркоманії серед учнів за ІІ семестр 2024/2025 навчального року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 щодо попередження та профілактики правопорушень, злочинності серед неповнолітніх у КЗ «ХСШ № 5» ХОР протягом ІІ півріччя 2024/2025 навчального року була спрямована на виконання Законів України «Про профілактику правопорушень», «Про освіту», «Про соціальну роботу з сім'ями, дітьми та молоддю», «Про охорону дитинства»,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«Про внесення змін до деяких законодавчих актів України щодо протидії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булінгу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(цькуванню)»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Указу Президента України від 28.01.2000 № 113/2000 «Про додаткові заходи запобігання дитячій бездоглядності» (зі змінами), наказу Міністерства освіти і науки, молоді та спорту України від 25.11.2011 № 1358 «Про виконання розпорядження Кабінету Міністрів України від 12 жовтня 2011 р. № 1039 «Про затвердження плану заходів щодо реалізації Концепції розвитку кримінальної юстиції щодо неповнолітніх в Україні», листів Міністерства освіти та науки України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від 29.01.2019 №1/11-881 «Рекомендації для закладів освіти щодо застосувань норм Закону України щодо протидії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булінгу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A3878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AA3878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AA3878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A3878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AA3878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AA3878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A3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1/21639</w:t>
      </w:r>
      <w:r w:rsidR="00AA3878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AA3878" w:rsidRPr="00DF15B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A3878" w:rsidRPr="00037CD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«</w:t>
      </w:r>
      <w:r w:rsidR="00AA3878" w:rsidRPr="00037CD9">
        <w:rPr>
          <w:rFonts w:ascii="Times New Roman" w:hAnsi="Times New Roman" w:cs="Times New Roman"/>
          <w:sz w:val="28"/>
          <w:szCs w:val="28"/>
        </w:rPr>
        <w:t>Про методичні рекомендації щодо організації виховного процесу в закладах освіти</w:t>
      </w:r>
      <w:r w:rsidR="00AA3878"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  <w:r w:rsidR="00AA3878" w:rsidRPr="00037C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A3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річним планом роботи КЗ «ХСШ № 5» ХОР на 202</w:t>
      </w:r>
      <w:r w:rsidR="00AA38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AA38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навчальний рік щодо попередження правопорушень, злочинності, насильс</w:t>
      </w:r>
      <w:r w:rsidR="00AA3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тва, </w:t>
      </w:r>
      <w:proofErr w:type="spellStart"/>
      <w:r w:rsidR="00AA3878"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="00AA3878">
        <w:rPr>
          <w:rFonts w:ascii="Times New Roman" w:eastAsia="Times New Roman" w:hAnsi="Times New Roman" w:cs="Times New Roman"/>
          <w:color w:val="000000"/>
          <w:sz w:val="28"/>
          <w:szCs w:val="28"/>
        </w:rPr>
        <w:t>, запобігання дитячи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бездоглядності і жорстокого поводження з дітьми,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правоосвітницької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 в закладі освіти з учнями (вихованцями) та батьківською громадськістю, роботи з пропаганди здорового способу життя, попередження наркоманії, токсикоманії та СНІДу.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ІІ семестру 2024/2025 навчального року педагогами закладу освіти здійснювався комплекс організаційно-практичних та профілактичних заходів, спрямованих на профілактику правопорушень, злочинності попередження негативних явищ у дитячому середовищі, а саме: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Здійснювалось систематичне контролювання відвідування здобувачами освіти навчальних занять закладу у дистанційному режимі та проводилась профілактична робота з приводу відсутності без поважних причин дітей у закладі.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закладі освіти діють за розкладом такі гуртки:</w:t>
      </w:r>
    </w:p>
    <w:p w:rsidR="00C34B56" w:rsidRDefault="008B7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«Ткацтво»;</w:t>
      </w:r>
    </w:p>
    <w:p w:rsidR="00C34B56" w:rsidRDefault="008B7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«Петриківський розпис»;</w:t>
      </w:r>
    </w:p>
    <w:p w:rsidR="00C34B56" w:rsidRDefault="008B7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«Художня кераміка»;</w:t>
      </w:r>
    </w:p>
    <w:p w:rsidR="00C34B56" w:rsidRDefault="008B7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«Модельно-хореографічна студія»;</w:t>
      </w:r>
    </w:p>
    <w:p w:rsidR="00C34B56" w:rsidRPr="00AA3878" w:rsidRDefault="008B7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«Традиційна кулінарія українців»;</w:t>
      </w:r>
    </w:p>
    <w:p w:rsidR="00AA3878" w:rsidRDefault="00AA38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«Писанкарство»;</w:t>
      </w:r>
    </w:p>
    <w:p w:rsidR="00C34B56" w:rsidRDefault="00104D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E75">
        <w:rPr>
          <w:rFonts w:ascii="Times New Roman" w:eastAsia="Times New Roman" w:hAnsi="Times New Roman" w:cs="Times New Roman"/>
          <w:color w:val="000000"/>
          <w:sz w:val="28"/>
          <w:szCs w:val="28"/>
        </w:rPr>
        <w:t>«Юні дизайнери</w:t>
      </w:r>
      <w:r w:rsidR="008B7E7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 гуртків із здобувачами освіти проводиться у дистанційному форматі. Здобувачі освіти беруть онлайн участь та посідають призові місця у різноманітних конкурсах та фестивалях.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КЗ «ХCШ № 5» ХОР проведені профілактично-роз'яснювальні заняття зі здобувачами освіти 1-12-х класів (індивідуальні та групові), під час яких були висвітлені основні форми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батьками здобувачів освіти 1-12-х класів було проведено бесіду за темою: «Відповідальність за вчинення правопорушень та їх недопущення у майбутньому».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Психологічною службою КЗ «ХСШ №5» ХОР зі здобувачами освіти 1-4 класів проводились заняття за темами:</w:t>
      </w:r>
    </w:p>
    <w:p w:rsidR="00C34B56" w:rsidRDefault="008B7E7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«Що я люблю? Що мені подобається?”</w:t>
      </w:r>
    </w:p>
    <w:p w:rsidR="00C34B56" w:rsidRDefault="008B7E7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«Комп’ютерні ігри – корисні чи небезпечні?».</w:t>
      </w:r>
    </w:p>
    <w:p w:rsidR="00C34B56" w:rsidRDefault="008B7E7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«Що таке друг? Що таке дружба?»</w:t>
      </w:r>
    </w:p>
    <w:p w:rsidR="00C34B56" w:rsidRDefault="008B7E7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«Моє минуле, теперішнє, майбутнє».</w:t>
      </w:r>
    </w:p>
    <w:p w:rsidR="00C34B56" w:rsidRDefault="008B7E7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«Що таке добро? Що таке зло?».</w:t>
      </w:r>
    </w:p>
    <w:p w:rsidR="00C34B56" w:rsidRDefault="008B7E7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межах впровадження тренінгового курсу «Дорослішай на здоров’я»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Н.О.) психологічною службою зі здобувачами освіти 10-12 класів були проведені заняття за темами: 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 проблем, або коли ми ризикуємо».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Мій захист – знання і обачливість».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Поведінка людини та її вплив на здоров’я».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Гендерні стереотипи та поведінка людини».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Відповідальний вибір».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Відповідальна поведінка».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Моя сім’я – моя фортеця».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заємини – діти і батьки».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Відповідальне батьківство».</w:t>
      </w:r>
    </w:p>
    <w:p w:rsidR="00C34B56" w:rsidRDefault="008B7E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Моє майбутнє доросле життя.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січні 2025 року зі здобувачами освіти 9-12 класів психологічною службою проведено тренінг за темою «Репродуктивне здоров’я та культура статевих стосунків (тренінг для підлітків)».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лютого 2025 року зі здобувачами освіти 5-12 класів психологічною службою було проведено тренінги та заходи за темою; «Безпечний інтернет та соціальні мережі».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ІІ семестру 2024/2025 навчального року щомісяця зі здобувачами освіти з 1-го по 12-й класи психологічною службою проводились заходи з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highlight w:val="white"/>
        </w:rPr>
        <w:t xml:space="preserve"> </w:t>
      </w:r>
      <w:r w:rsidRPr="00AA3878">
        <w:rPr>
          <w:rFonts w:ascii="Times New Roman" w:eastAsia="Times New Roman" w:hAnsi="Times New Roman" w:cs="Times New Roman"/>
          <w:sz w:val="28"/>
          <w:szCs w:val="28"/>
          <w:highlight w:val="white"/>
        </w:rPr>
        <w:t>психологічної підтримки та підтримки ментального здоровся</w:t>
      </w:r>
      <w:r w:rsidRPr="00AA3878">
        <w:rPr>
          <w:rFonts w:ascii="Times New Roman" w:eastAsia="Times New Roman" w:hAnsi="Times New Roman" w:cs="Times New Roman"/>
          <w:sz w:val="28"/>
          <w:szCs w:val="28"/>
        </w:rPr>
        <w:t xml:space="preserve"> за темою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«Ти як?»; впроваджувалась програма «Особиста гідність. Безпека життя. Громадянська позиція» серед здобувачів освіти з 8-го по 12-й класи. Проводились бесіди щодо профілактики вживання небезпечних для здоров’я людини речовин, щодо безпечного поводження в Internet, як не потрапити в халепу, мандруючи у соціальних мережах, як захистити себе від шахраїв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кібербулінгу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щодо відповідальності вчинення правопорушень та їх недопущення у майбутньому. Щотижнево з січня по березень 2025 року проходили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зустрічі для здобувачів освіти з Дитяча точка СПІЛЬНО/UNICEF за темою «Сила спілкування».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початку червня 2025 року проведено захід для здобувачів освіти, їх батьків та педагогів за темою; «Легкі гроші - страшні наслідки» або як не допустити вербування, з</w:t>
      </w:r>
      <w:r w:rsidR="00104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 час військового стану в 2025 році.</w:t>
      </w:r>
    </w:p>
    <w:p w:rsidR="00C34B56" w:rsidRDefault="008B7E7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межах реалізації проекту «Підвищення обізнаності людей з порушеннями зору та слуху щодо проблеми торгівлі людьми безпечної міграції та працевлаштування» психологічною службою був проведений загальношкільний захід зі здобувачами освіти 5-12 класів. </w:t>
      </w:r>
    </w:p>
    <w:p w:rsidR="00C34B56" w:rsidRDefault="008B7E7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ІІ семестру 2024/2025 навчального рогу психологічною службою проводились індивідуальні консультації усіх учасників освітнього процесу, зі здобувачами освіти проводились групові заняття з психологічної підтримки з використанням вправ і арт-методів, спрямованих на стабілізацію емоційного стану, пошуку власних ресурсів та здібності спиратися на себе.</w:t>
      </w:r>
    </w:p>
    <w:p w:rsidR="00C34B56" w:rsidRDefault="008B7E7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Усі педагоги КЗ «ХСШ № 5» ХОР підтримують тісний зв'язок зі здобувачами освіти та їх батьками.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Наявний стан правопорушень серед неповнолітніх та криміногенна ситуація в країні вимагає продовження цілеспрямованої системної роботи щодо профілактики негативних проявів серед учнів (вихованців) КЗ «ХСШ № 5» ХОР. Серед актуальних питань, які потребують реалізації у 2025/2026 навчальному році – проведення профілактичної роботи в рамках всеукраїнської інформаційної кампанії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Cтоп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 метою запобігання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КЗ «ХСШ № 5» ХОР, забезпечення виконання Закону України «Про запобігання та протидію домашньому насильству» і наказу Міністерства освіти і науки України від 02.10.2018 № 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службами», а також проведення антинаркотичної профілактичної роботи.</w:t>
      </w: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Заступник директора</w:t>
      </w: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виховної роботи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Юлія ЛАВРИКОВА</w:t>
      </w: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04DDE" w:rsidRDefault="00104DDE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04DDE" w:rsidRPr="00104DDE" w:rsidRDefault="00104DDE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3878" w:rsidRDefault="00AA3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Візи:</w:t>
      </w:r>
    </w:p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0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2410"/>
      </w:tblGrid>
      <w:tr w:rsidR="00C34B56">
        <w:tc>
          <w:tcPr>
            <w:tcW w:w="5637" w:type="dxa"/>
          </w:tcPr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директора з навчальної роботи Комунального закладу «Харківська спеціальний школа № 5» Харківської обласної ради</w:t>
            </w:r>
          </w:p>
        </w:tc>
        <w:tc>
          <w:tcPr>
            <w:tcW w:w="1984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Корсун</w:t>
            </w:r>
            <w:proofErr w:type="spellEnd"/>
          </w:p>
        </w:tc>
      </w:tr>
      <w:tr w:rsidR="00C34B56">
        <w:trPr>
          <w:trHeight w:val="177"/>
        </w:trPr>
        <w:tc>
          <w:tcPr>
            <w:tcW w:w="5637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4B56">
        <w:tc>
          <w:tcPr>
            <w:tcW w:w="5637" w:type="dxa"/>
          </w:tcPr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Лаврикова</w:t>
            </w:r>
            <w:proofErr w:type="spellEnd"/>
          </w:p>
        </w:tc>
      </w:tr>
      <w:tr w:rsidR="00C34B56">
        <w:tc>
          <w:tcPr>
            <w:tcW w:w="5637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4B56">
        <w:tc>
          <w:tcPr>
            <w:tcW w:w="5637" w:type="dxa"/>
          </w:tcPr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8B7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Мокрушина</w:t>
            </w:r>
            <w:proofErr w:type="spellEnd"/>
          </w:p>
        </w:tc>
      </w:tr>
      <w:tr w:rsidR="00C34B56">
        <w:tc>
          <w:tcPr>
            <w:tcW w:w="5637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4B56">
        <w:tc>
          <w:tcPr>
            <w:tcW w:w="5637" w:type="dxa"/>
          </w:tcPr>
          <w:p w:rsidR="00C34B56" w:rsidRDefault="008B7E75" w:rsidP="00AA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A3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3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початкових класів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Default="00C3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4B56" w:rsidRPr="00AA3878" w:rsidRDefault="00AA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A38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C34B56" w:rsidRDefault="00C34B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34B56">
          <w:headerReference w:type="default" r:id="rId12"/>
          <w:pgSz w:w="11906" w:h="16838"/>
          <w:pgMar w:top="1134" w:right="567" w:bottom="709" w:left="1701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ознайомлені:</w:t>
      </w:r>
    </w:p>
    <w:p w:rsidR="00AA3878" w:rsidRDefault="00AA3878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Ковальова Н.А.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Кравченко Н.Д.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Єфімова Т.В.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Пазенкова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Васильченко І.Б.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Андрєєва О.В.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Келеберда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Баул Н.А.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Фролова Т.П.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AA3878" w:rsidRDefault="00AA3878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Лемешко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Мосенцева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Когтєв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Нікітюк Н.О.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Север’янова О.А.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AA3878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3878">
        <w:rPr>
          <w:rFonts w:ascii="Times New Roman" w:eastAsia="Times New Roman" w:hAnsi="Times New Roman" w:cs="Times New Roman"/>
          <w:sz w:val="28"/>
          <w:szCs w:val="28"/>
          <w:lang w:val="uk-UA"/>
        </w:rPr>
        <w:t>Котелевська</w:t>
      </w:r>
      <w:proofErr w:type="spellEnd"/>
      <w:r w:rsidRPr="00AA38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</w:t>
      </w:r>
      <w:r w:rsidR="008B7E75" w:rsidRPr="00AA38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7E75" w:rsidRPr="00AA3878">
        <w:rPr>
          <w:rFonts w:ascii="Times New Roman" w:eastAsia="Times New Roman" w:hAnsi="Times New Roman" w:cs="Times New Roman"/>
          <w:sz w:val="28"/>
          <w:szCs w:val="28"/>
        </w:rPr>
        <w:tab/>
      </w:r>
      <w:r w:rsidR="008B7E7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Клименко Н.М.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Белевцова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Default="008B7E75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34B56">
          <w:type w:val="continuous"/>
          <w:pgSz w:w="11906" w:h="16838"/>
          <w:pgMar w:top="1134" w:right="567" w:bottom="1134" w:left="1701" w:header="708" w:footer="708" w:gutter="0"/>
          <w:cols w:num="2" w:space="720" w:equalWidth="0">
            <w:col w:w="4464" w:space="708"/>
            <w:col w:w="4464" w:space="0"/>
          </w:cols>
          <w:titlePg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Белевцова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:rsidR="00C34B56" w:rsidRPr="00AA3878" w:rsidRDefault="00AA3878" w:rsidP="00AA3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Єпіфанова-Кожевнікова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Т.В._____</w:t>
      </w:r>
    </w:p>
    <w:sectPr w:rsidR="00C34B56" w:rsidRPr="00AA3878">
      <w:headerReference w:type="default" r:id="rId13"/>
      <w:type w:val="continuous"/>
      <w:pgSz w:w="11906" w:h="16838"/>
      <w:pgMar w:top="1134" w:right="566" w:bottom="1135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88" w:rsidRDefault="00D77888">
      <w:r>
        <w:separator/>
      </w:r>
    </w:p>
  </w:endnote>
  <w:endnote w:type="continuationSeparator" w:id="0">
    <w:p w:rsidR="00D77888" w:rsidRDefault="00D7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88" w:rsidRDefault="00D77888">
      <w:r>
        <w:separator/>
      </w:r>
    </w:p>
  </w:footnote>
  <w:footnote w:type="continuationSeparator" w:id="0">
    <w:p w:rsidR="00D77888" w:rsidRDefault="00D77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56" w:rsidRDefault="008B7E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04DDE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C34B56" w:rsidRDefault="00C34B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56" w:rsidRDefault="008B7E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C34B56" w:rsidRDefault="00C34B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2FA8"/>
    <w:multiLevelType w:val="multilevel"/>
    <w:tmpl w:val="E93406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1">
    <w:nsid w:val="268F7CCA"/>
    <w:multiLevelType w:val="multilevel"/>
    <w:tmpl w:val="253CE758"/>
    <w:lvl w:ilvl="0">
      <w:start w:val="2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">
    <w:nsid w:val="26FD73D7"/>
    <w:multiLevelType w:val="multilevel"/>
    <w:tmpl w:val="BE10234A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459075A5"/>
    <w:multiLevelType w:val="multilevel"/>
    <w:tmpl w:val="057257E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AF41E40"/>
    <w:multiLevelType w:val="multilevel"/>
    <w:tmpl w:val="713ED172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DCE0142"/>
    <w:multiLevelType w:val="multilevel"/>
    <w:tmpl w:val="BAACE1F2"/>
    <w:lvl w:ilvl="0">
      <w:start w:val="1"/>
      <w:numFmt w:val="decimal"/>
      <w:lvlText w:val="%1)"/>
      <w:lvlJc w:val="left"/>
      <w:pPr>
        <w:ind w:left="822" w:hanging="34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56"/>
    <w:rsid w:val="00037CD9"/>
    <w:rsid w:val="00104DDE"/>
    <w:rsid w:val="00385783"/>
    <w:rsid w:val="008B7E75"/>
    <w:rsid w:val="00AA3878"/>
    <w:rsid w:val="00C34B56"/>
    <w:rsid w:val="00D77888"/>
    <w:rsid w:val="00D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a.pp.ua/goto/aHR0cHM6Ly96YWtvbi5yYWRhLmdvdi51YS9sYXdzL3Nob3cvMjY1Ny0xOQ==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lada.pp.ua/goto/aHR0cDovL3d3dy5zb2lwcG8uZWR1LnVhL2ltYWdlcy8lRDAlOUQlRDAlQkUlRDAlQjIlRDAlQjglRDAlQkQlRDAlQjgvMjAxOS8wMi8wNC9ub3Zvc3QyLzFfMTEtODgxJTIwMS5wZGY=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lada.pp.ua/goto/aHR0cHM6Ly96YWtvbi5yYWRhLmdvdi51YS9sYXdzL3Nob3cvMjY1Ny0xOQ==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a.pp.ua/goto/aHR0cDovL3d3dy5zb2lwcG8uZWR1LnVhL2ltYWdlcy8lRDAlOUQlRDAlQkUlRDAlQjIlRDAlQjglRDAlQkQlRDAlQjgvMjAxOS8wMi8wNC9ub3Zvc3QyLzFfMTEtODgxJTIwMS5wZGY=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3</cp:revision>
  <dcterms:created xsi:type="dcterms:W3CDTF">2025-08-06T13:55:00Z</dcterms:created>
  <dcterms:modified xsi:type="dcterms:W3CDTF">2025-08-07T12:39:00Z</dcterms:modified>
</cp:coreProperties>
</file>