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CC" w:rsidRDefault="0091297B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КОМУНАЛЬНИЙ ЗАКЛАД</w:t>
      </w:r>
    </w:p>
    <w:p w:rsidR="00930BCC" w:rsidRDefault="0091297B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«ХАРКІВСЬКА СПЕЦІАЛЬНА ШКОЛА № 5»</w:t>
      </w:r>
    </w:p>
    <w:p w:rsidR="00930BCC" w:rsidRDefault="0091297B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ХАРКІВСЬКОЇ ОБЛАСНОЇ РАДИ</w:t>
      </w:r>
    </w:p>
    <w:p w:rsidR="00930BCC" w:rsidRDefault="00930B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BCC" w:rsidRDefault="009129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НАКАЗ</w:t>
      </w:r>
    </w:p>
    <w:p w:rsidR="00930BCC" w:rsidRDefault="00930B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BCC" w:rsidRDefault="009129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30.05.2025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Харків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№ 56-о</w:t>
      </w:r>
    </w:p>
    <w:p w:rsidR="00930BCC" w:rsidRDefault="00930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3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30BCC" w:rsidRDefault="009129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52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виконання освітніх програм і навчальних планів за 2024/2025 навчальний рік</w:t>
      </w:r>
    </w:p>
    <w:p w:rsidR="00930BCC" w:rsidRDefault="0091297B" w:rsidP="00BB4C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11</w:t>
      </w:r>
      <w:r w:rsidR="00BB4C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 України «Про повну загальну середню освіту», Законів України «Про захист населення від інфекційних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«Про забезпечення санітарного та епідем</w:t>
      </w:r>
      <w:r w:rsidR="00BB4C47">
        <w:rPr>
          <w:rFonts w:ascii="Times New Roman" w:eastAsia="Times New Roman" w:hAnsi="Times New Roman" w:cs="Times New Roman"/>
          <w:color w:val="000000"/>
          <w:sz w:val="28"/>
          <w:szCs w:val="28"/>
        </w:rPr>
        <w:t>ічного благополуччя населення»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Указів Президента України від 24 лютого 2022 року № 64/2022 «Про введення воєнного стану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затверджений Законом України від 24 лютого 2022 року </w:t>
      </w:r>
      <w:r w:rsidR="00BB4C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="00BB4C47">
        <w:rPr>
          <w:rFonts w:ascii="Times New Roman" w:eastAsia="Times New Roman" w:hAnsi="Times New Roman" w:cs="Times New Roman"/>
          <w:color w:val="000000"/>
          <w:sz w:val="28"/>
          <w:szCs w:val="28"/>
        </w:rPr>
        <w:t>№ 2102-ІХ,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23 липня 2024 р. № 469/2024 «Про продовження строку дії воєнного стану в Україні», затверджений Законом України від 23 липня 2024 р. № 3891-ІХ, пункту 3 розділу І, пунктів 1, 6 розділу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ІV Порядку проведення державної підсумкової атестації, затвердженого наказом Міністерства освіти і науки України від 07 грудня 2018 за № 8/32979, Закону України від 29 жовтня 2024 року за </w:t>
      </w:r>
      <w:r>
        <w:rPr>
          <w:rFonts w:ascii="Times New Roman" w:eastAsia="Times New Roman" w:hAnsi="Times New Roman" w:cs="Times New Roman"/>
          <w:sz w:val="28"/>
          <w:szCs w:val="28"/>
        </w:rPr>
        <w:t>№ 12053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внесення змін до деяких законів України щодо державної підсумкової атестації та вступної кампанії 2025 року»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здобувачів освіти, які у 2025 році завершують кожен рівень повної загальної середньої освіти, звільнено від проходження державної підсумкової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атестації.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B4C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виконання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 роботи Комунального закладу «Харківська спеціальна школа № 5» Харківської обласної ради (далі – КЗ «ХСШ № 5» ХОР) на 2024/2025 навчальний рік, з метою здійснення контролю за виконанням навчальних планів та освітніх програм поточного навч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року адміністрацією закладу було перевірено та проаналізовано:</w:t>
      </w:r>
    </w:p>
    <w:p w:rsidR="00930BCC" w:rsidRPr="00BB4C47" w:rsidRDefault="0091297B" w:rsidP="00BB4C47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4C47">
        <w:rPr>
          <w:rFonts w:ascii="Times New Roman" w:hAnsi="Times New Roman" w:cs="Times New Roman"/>
          <w:sz w:val="28"/>
          <w:szCs w:val="28"/>
        </w:rPr>
        <w:t>кількість годин, відведених на вивчення предметів за навчальними програмами,</w:t>
      </w:r>
    </w:p>
    <w:p w:rsidR="00930BCC" w:rsidRPr="00BB4C47" w:rsidRDefault="0091297B" w:rsidP="00BB4C47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4C47">
        <w:rPr>
          <w:rFonts w:ascii="Times New Roman" w:hAnsi="Times New Roman" w:cs="Times New Roman"/>
          <w:sz w:val="28"/>
          <w:szCs w:val="28"/>
        </w:rPr>
        <w:t>відповідність вивчення навчального матеріалу календарному плануванню,</w:t>
      </w:r>
    </w:p>
    <w:p w:rsidR="00930BCC" w:rsidRPr="00BB4C47" w:rsidRDefault="0091297B" w:rsidP="00BB4C47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4C47">
        <w:rPr>
          <w:rFonts w:ascii="Times New Roman" w:hAnsi="Times New Roman" w:cs="Times New Roman"/>
          <w:sz w:val="28"/>
          <w:szCs w:val="28"/>
        </w:rPr>
        <w:t>розподіл навчального матеріалу,</w:t>
      </w:r>
    </w:p>
    <w:p w:rsidR="00930BCC" w:rsidRPr="00BB4C47" w:rsidRDefault="0091297B" w:rsidP="00BB4C47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4C47">
        <w:rPr>
          <w:rFonts w:ascii="Times New Roman" w:hAnsi="Times New Roman" w:cs="Times New Roman"/>
          <w:sz w:val="28"/>
          <w:szCs w:val="28"/>
        </w:rPr>
        <w:t>оцінюв</w:t>
      </w:r>
      <w:r w:rsidRPr="00BB4C47">
        <w:rPr>
          <w:rFonts w:ascii="Times New Roman" w:hAnsi="Times New Roman" w:cs="Times New Roman"/>
          <w:sz w:val="28"/>
          <w:szCs w:val="28"/>
        </w:rPr>
        <w:t>ання результатів навчальних досягнень здобувачів освіти.</w:t>
      </w:r>
    </w:p>
    <w:p w:rsidR="00930BCC" w:rsidRDefault="0091297B" w:rsidP="00BB4C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b24whl5k6k7d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еревіркою виявлено, що всі вчителі працювали відповідно до державних навчальних програм, затверджених Міністерством науки і освіти України та складених за ними календарних планів. Станом на 30.05.20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 року інваріантна та варіативна складові частини навчальних планів виконано. Предмети, які були винесені на вакансію у зв’язку з відсутності педагогів були замінені на платній або безоплатній основі. У зв’язку зі звільненням педагога Полякової Ірини Анат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оліївни вчителя розвитку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-тактильного сприймання мовлення та формування вимови з 13.02.2025 учні 2-го класу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Б. Артем, Денис Д., </w:t>
      </w:r>
      <w:r w:rsidR="00BB4C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Аніта К., та Ярослав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дні та години коли викладався предмет  розвиток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-тактильного сприймання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мовлення та формування вимови займалися разом з учнями 3-го класу 2 групи, 3-го класу 1 групи, та 2-го класу 3 групи в дні та години коли викладав предмет розвитку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-тактильного сприймання мовлення та формування вимови вчитель Єпіфанова-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Кожевніко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Тетяна Володимирівна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Лаврикова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Юлія Сергіївна заняття проводились на безоплатній основі.</w:t>
      </w:r>
    </w:p>
    <w:p w:rsidR="00930BCC" w:rsidRDefault="009129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Учителями з фізики, хімії, біології, географії, природознавства проведені практичні і лабораторні роботи в повному обсязі. Перевіркою встановлено, що виконання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рактичної частини програм відповідає вимогам державних стандартів освіти. Вчителями здійснено модифікування навчального матеріалу для якісного здійснення освітнього процесу .</w:t>
      </w:r>
    </w:p>
    <w:p w:rsidR="00930BCC" w:rsidRDefault="009129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 освіти 2-го-12-го класів мають достатню кількість поточних оцінок, підс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умкове оцінювання (тематичне, семестрове та річне) здійснене з усіх предметів відповідно до плану. Усі здобувачі освіти оцінені та переведені до наступного класу.</w:t>
      </w:r>
    </w:p>
    <w:p w:rsidR="00930BCC" w:rsidRDefault="009129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Додаткові години варіативної складової робочого навчального плану використовувалися таким 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ом:</w:t>
      </w:r>
    </w:p>
    <w:p w:rsidR="00930BCC" w:rsidRDefault="0091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1-ий клас – індивідуальні заняття (українська жестова мова) - 1 година;</w:t>
      </w:r>
    </w:p>
    <w:p w:rsidR="00930BCC" w:rsidRDefault="0091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2-ий клас – індивідуальні заняття (українська жестова мова) - 1 година;</w:t>
      </w:r>
    </w:p>
    <w:p w:rsidR="00930BCC" w:rsidRDefault="0091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3-ий клас – індивідуальні заняття (українська жестова мова) - 1 година;</w:t>
      </w:r>
    </w:p>
    <w:p w:rsidR="00930BCC" w:rsidRDefault="0091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8pg90r4peal3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4-ий  клас – індивідуальні заняття (</w:t>
      </w:r>
      <w:r>
        <w:rPr>
          <w:rFonts w:ascii="Times New Roman" w:eastAsia="Times New Roman" w:hAnsi="Times New Roman" w:cs="Times New Roman"/>
          <w:sz w:val="28"/>
          <w:szCs w:val="28"/>
        </w:rPr>
        <w:t>українська жестова мова) – 1 година;</w:t>
      </w:r>
    </w:p>
    <w:p w:rsidR="00930BCC" w:rsidRDefault="009129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5-ий клас – індивідуальні заняття (математика) – 0,5 година;</w:t>
      </w:r>
    </w:p>
    <w:p w:rsidR="00930BCC" w:rsidRDefault="009129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6-ий клас – індивідуальні заняття (математика) – 0,5 години, (українська жестова мова) – 1 година</w:t>
      </w:r>
    </w:p>
    <w:p w:rsidR="00930BCC" w:rsidRDefault="009129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7-ий А клас – індивідуальні заняття (алгебра і геометрія) – 1 година;</w:t>
      </w:r>
    </w:p>
    <w:p w:rsidR="00930BCC" w:rsidRDefault="009129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7-ий  Б клас – індивідуальні заняття (алгебра і геометрія) – 1 година;</w:t>
      </w:r>
    </w:p>
    <w:p w:rsidR="00930BCC" w:rsidRDefault="009129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8-ий клас –  курс за вибором «Прикладні фінанси» – 1 година.</w:t>
      </w:r>
    </w:p>
    <w:p w:rsidR="00930BCC" w:rsidRDefault="009129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10-ий клас – індивідуальні заняття (алгебра і геометрія) – 1 година;</w:t>
      </w:r>
    </w:p>
    <w:p w:rsidR="00930BCC" w:rsidRDefault="009129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11-ий клас –  Курс за вибором «Українська жестова мова» – 2 години, курс за вибором «Фінансова грамотність. Фінанси. Що? Чому? Як?:» – 1 години.</w:t>
      </w:r>
    </w:p>
    <w:p w:rsidR="00930BCC" w:rsidRDefault="009129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12-ий клас - Курс за вибором «Українська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естова мова» – 2 години, курс за вибором «Фінансова грамотність. Фінанси. Що? Чому? Як?:» – 1 години.</w:t>
      </w:r>
    </w:p>
    <w:p w:rsidR="00930BCC" w:rsidRDefault="009129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з предметів варіативної частини навчального плану за 2024/2025 навчальний рік виконано.</w:t>
      </w:r>
    </w:p>
    <w:p w:rsidR="00930BCC" w:rsidRDefault="009129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Вихователі дошкільних групи КЗ «ХСШ № 5» ХОР для дітей з </w:t>
      </w:r>
      <w:r>
        <w:rPr>
          <w:rFonts w:ascii="Times New Roman" w:eastAsia="Times New Roman" w:hAnsi="Times New Roman" w:cs="Times New Roman"/>
          <w:sz w:val="28"/>
          <w:szCs w:val="28"/>
        </w:rPr>
        <w:t>порушеннями слуху та тяжкими порушеннями мовлення рівномірно розподіляли види активності за основними лініями розвитку протягом дня та системне впроваджували інтегров</w:t>
      </w:r>
      <w:r w:rsidR="00BB4C47">
        <w:rPr>
          <w:rFonts w:ascii="Times New Roman" w:eastAsia="Times New Roman" w:hAnsi="Times New Roman" w:cs="Times New Roman"/>
          <w:sz w:val="28"/>
          <w:szCs w:val="28"/>
        </w:rPr>
        <w:t xml:space="preserve">ані та комплексні заняття, які </w:t>
      </w:r>
      <w:r>
        <w:rPr>
          <w:rFonts w:ascii="Times New Roman" w:eastAsia="Times New Roman" w:hAnsi="Times New Roman" w:cs="Times New Roman"/>
          <w:sz w:val="28"/>
          <w:szCs w:val="28"/>
        </w:rPr>
        <w:t>дозволяють включати інші форми роботи з дітьми – художньо-</w:t>
      </w:r>
      <w:r>
        <w:rPr>
          <w:rFonts w:ascii="Times New Roman" w:eastAsia="Times New Roman" w:hAnsi="Times New Roman" w:cs="Times New Roman"/>
          <w:sz w:val="28"/>
          <w:szCs w:val="28"/>
        </w:rPr>
        <w:t>продуктивна та мовленнєва діяльність, ознайомлення із соціумом та художньо-продуктивна діяльність, ознайомлення з природним довкіллям та логіко-математичний розвиток тощо. Робота з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розділу «Пізнання довкілля: сенсорний розвиток і дослідницька діяльність ди</w:t>
      </w:r>
      <w:r>
        <w:rPr>
          <w:rFonts w:ascii="Times New Roman" w:eastAsia="Times New Roman" w:hAnsi="Times New Roman" w:cs="Times New Roman"/>
          <w:sz w:val="28"/>
          <w:szCs w:val="28"/>
        </w:rPr>
        <w:t>тини»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дітей з порушеннями слуху інтегрувалася у різних видах діяльності, а саме: навчальній (заняття з розвитку мовлення, образотворчої діяльності), ігровій (різні види ігор). Корекційно-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робота з дітьми проводилась вчителем-дефектологом та вчи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телем-логопедом у формі фронтальних,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підгрупових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індивідуальних занять протягом дня. </w:t>
      </w:r>
    </w:p>
    <w:p w:rsidR="00930BCC" w:rsidRDefault="009129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виконання Базового компоненту дошкільної освіти (Державний стандарт дошкільної освіти), який передбачає засвоєння змісту дошкільної освіти на весь період дошкільног</w:t>
      </w:r>
      <w:r>
        <w:rPr>
          <w:rFonts w:ascii="Times New Roman" w:eastAsia="Times New Roman" w:hAnsi="Times New Roman" w:cs="Times New Roman"/>
          <w:sz w:val="28"/>
          <w:szCs w:val="28"/>
        </w:rPr>
        <w:t>о дитинства, визначення особливостей та вимог до рівня розвиненості, рівня освітніх компетенцій дитини можна визначитися, що вихованці  6-7 років життя отримали повноцінний психофізичний та особистісний розвиток і психологічну готовність до навчання у школ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Виходячи з вищезазначеного, </w:t>
      </w:r>
    </w:p>
    <w:p w:rsidR="00930BCC" w:rsidRDefault="009129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 А К А З У Ю:</w:t>
      </w:r>
    </w:p>
    <w:p w:rsidR="00930BCC" w:rsidRDefault="009129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Вважати освітню програму та навчальні плани </w:t>
      </w:r>
      <w:r w:rsidR="00BB4C4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2024/2025 навчальний рік виконаними в повному обсязі.</w:t>
      </w:r>
    </w:p>
    <w:p w:rsidR="00930BCC" w:rsidRDefault="009129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Вчителям 2-12-х класів КЗ «ХСШ № 5» ХОР:</w:t>
      </w:r>
    </w:p>
    <w:p w:rsidR="00930BCC" w:rsidRDefault="009129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Спланувати на початку 2025/2026 навчального року для здобувачів освіти 2-12-х класів проведення вхідного оцінювання учнів з метою діагностування рівня навчальних досягнень учнів за попередній рік та планування подальшої роботи із систематизації, узага</w:t>
      </w:r>
      <w:r>
        <w:rPr>
          <w:rFonts w:ascii="Times New Roman" w:eastAsia="Times New Roman" w:hAnsi="Times New Roman" w:cs="Times New Roman"/>
          <w:sz w:val="28"/>
          <w:szCs w:val="28"/>
        </w:rPr>
        <w:t>льнення та закріплення навчального матеріалу, що вивчався за допомогою дистанційних форм навчання.</w:t>
      </w:r>
    </w:p>
    <w:p w:rsidR="00930BCC" w:rsidRDefault="009129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Вересень 2025</w:t>
      </w:r>
    </w:p>
    <w:p w:rsidR="00930BCC" w:rsidRDefault="009129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Передбачити під час календарно-тематичного планування на 2025/2026 навчальний рік суттєве збільшення навчального часу на узагальнення та з</w:t>
      </w:r>
      <w:r>
        <w:rPr>
          <w:rFonts w:ascii="Times New Roman" w:eastAsia="Times New Roman" w:hAnsi="Times New Roman" w:cs="Times New Roman"/>
          <w:sz w:val="28"/>
          <w:szCs w:val="28"/>
        </w:rPr>
        <w:t>акріплення навчального матеріалу за попередній рік.</w:t>
      </w:r>
    </w:p>
    <w:p w:rsidR="00930BCC" w:rsidRDefault="009129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Вересень-жовтень 2025</w:t>
      </w:r>
    </w:p>
    <w:p w:rsidR="00930BCC" w:rsidRDefault="0091297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Вихователям дошкільних груп КЗ «ХСШ № 5» ХОР:</w:t>
      </w:r>
    </w:p>
    <w:p w:rsidR="00930BCC" w:rsidRDefault="0091297B" w:rsidP="00BB4C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На засіданні методичного об’єднання педагогів дошкільних груп визначитися з реалізацією варіативного складника Базового компоненту у 2025/2026 навчальному році;</w:t>
      </w:r>
    </w:p>
    <w:p w:rsidR="00930BCC" w:rsidRDefault="009129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Серпень 2025</w:t>
      </w:r>
    </w:p>
    <w:p w:rsidR="00930BCC" w:rsidRDefault="009129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Під час календарно-тематичного планування на 2025/2026 навчальний рік ак</w:t>
      </w:r>
      <w:r>
        <w:rPr>
          <w:rFonts w:ascii="Times New Roman" w:eastAsia="Times New Roman" w:hAnsi="Times New Roman" w:cs="Times New Roman"/>
          <w:sz w:val="28"/>
          <w:szCs w:val="28"/>
        </w:rPr>
        <w:t>тивно використовувати інтегровані та комплексні заняття.</w:t>
      </w:r>
    </w:p>
    <w:p w:rsidR="00930BCC" w:rsidRDefault="009129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Вересень 2025</w:t>
      </w:r>
    </w:p>
    <w:p w:rsidR="00930BCC" w:rsidRDefault="009129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Грудень 2026  </w:t>
      </w:r>
    </w:p>
    <w:p w:rsidR="00930BCC" w:rsidRDefault="0091297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виконання цього наказу </w:t>
      </w:r>
      <w:r w:rsidR="00BB4C47">
        <w:rPr>
          <w:rFonts w:ascii="Times New Roman" w:eastAsia="Times New Roman" w:hAnsi="Times New Roman" w:cs="Times New Roman"/>
          <w:sz w:val="28"/>
          <w:szCs w:val="28"/>
          <w:lang w:val="uk-UA"/>
        </w:rPr>
        <w:t>покласти на заступників директора Сергія КОРСУНА та Юлію ЛАВРИКОВУ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C47" w:rsidRDefault="00BB4C4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0BCC" w:rsidRDefault="0091297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 закладу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Олена МІРОШНИК</w:t>
      </w:r>
    </w:p>
    <w:p w:rsidR="00BB4C47" w:rsidRDefault="00BB4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BCC" w:rsidRDefault="0091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Візи:</w:t>
      </w:r>
    </w:p>
    <w:p w:rsidR="00930BCC" w:rsidRDefault="00930B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0"/>
        <w:tblW w:w="1003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930BCC">
        <w:tc>
          <w:tcPr>
            <w:tcW w:w="5637" w:type="dxa"/>
          </w:tcPr>
          <w:p w:rsidR="00930BCC" w:rsidRDefault="0091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1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Корсун</w:t>
            </w:r>
            <w:proofErr w:type="spellEnd"/>
          </w:p>
        </w:tc>
      </w:tr>
      <w:tr w:rsidR="00930BCC">
        <w:tc>
          <w:tcPr>
            <w:tcW w:w="5637" w:type="dxa"/>
          </w:tcPr>
          <w:p w:rsidR="00930BCC" w:rsidRDefault="0093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930BCC">
        <w:tc>
          <w:tcPr>
            <w:tcW w:w="5637" w:type="dxa"/>
          </w:tcPr>
          <w:p w:rsidR="00930BCC" w:rsidRDefault="0091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1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Лаврикова</w:t>
            </w:r>
            <w:proofErr w:type="spellEnd"/>
          </w:p>
        </w:tc>
      </w:tr>
      <w:tr w:rsidR="00930BCC">
        <w:tc>
          <w:tcPr>
            <w:tcW w:w="5637" w:type="dxa"/>
          </w:tcPr>
          <w:p w:rsidR="00930BCC" w:rsidRDefault="0093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930BCC">
        <w:tc>
          <w:tcPr>
            <w:tcW w:w="5637" w:type="dxa"/>
          </w:tcPr>
          <w:p w:rsidR="00930BCC" w:rsidRDefault="0091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1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Мокрушина</w:t>
            </w:r>
            <w:proofErr w:type="spellEnd"/>
          </w:p>
        </w:tc>
      </w:tr>
      <w:tr w:rsidR="00930BCC">
        <w:tc>
          <w:tcPr>
            <w:tcW w:w="5637" w:type="dxa"/>
          </w:tcPr>
          <w:p w:rsidR="00930BCC" w:rsidRDefault="0093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930BCC">
        <w:tc>
          <w:tcPr>
            <w:tcW w:w="5637" w:type="dxa"/>
          </w:tcPr>
          <w:p w:rsidR="00930BCC" w:rsidRDefault="0091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</w:t>
            </w:r>
            <w:r w:rsidR="00BB4C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початкових класів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3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0BCC" w:rsidRDefault="0091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 Ковальова</w:t>
            </w:r>
          </w:p>
        </w:tc>
      </w:tr>
    </w:tbl>
    <w:p w:rsidR="00930BCC" w:rsidRDefault="00930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0BCC" w:rsidRDefault="00930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0BCC" w:rsidRDefault="009129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ознайомлені:</w:t>
      </w:r>
    </w:p>
    <w:p w:rsidR="00930BCC" w:rsidRDefault="009129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Андрєєва О.В.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Мірошніченко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930BCC" w:rsidRDefault="009129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Белевцова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Гонтаренко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П.В.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p w:rsidR="00930BCC" w:rsidRDefault="0091297B" w:rsidP="00BB4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79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Пазенкова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Белевцова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І.М.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p w:rsidR="00930BCC" w:rsidRDefault="009129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Терехова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І.Ю.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Север’янова О.А.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p w:rsidR="00930BCC" w:rsidRDefault="009129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Єфімова Т.В.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Нікітюк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Н.О.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p w:rsidR="00930BCC" w:rsidRDefault="009129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Клименко Н.М.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овальова Н.А.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p w:rsidR="00930BCC" w:rsidRDefault="009129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Когтєв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Фролова Т.П.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p w:rsidR="00930BCC" w:rsidRDefault="0091297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Гонтаренко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В.П.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Капаєв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Є.М.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p w:rsidR="00930BCC" w:rsidRDefault="009129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Кравченко Н.Д.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Шаталова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М.О.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p w:rsidR="00930BCC" w:rsidRDefault="009129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Кудряшова Н.О.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Лупандіна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p w:rsidR="00930BCC" w:rsidRDefault="0091297B" w:rsidP="00EF53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Єпіфанова-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Кожевн</w:t>
      </w:r>
      <w:r>
        <w:rPr>
          <w:rFonts w:ascii="Times New Roman" w:eastAsia="Times New Roman" w:hAnsi="Times New Roman" w:cs="Times New Roman"/>
          <w:sz w:val="28"/>
          <w:szCs w:val="28"/>
        </w:rPr>
        <w:t>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Т.В.__________</w:t>
      </w:r>
      <w:bookmarkStart w:id="2" w:name="_GoBack"/>
      <w:bookmarkEnd w:id="2"/>
    </w:p>
    <w:sectPr w:rsidR="00930BCC" w:rsidSect="00BB4C47">
      <w:headerReference w:type="default" r:id="rId8"/>
      <w:pgSz w:w="11906" w:h="16838"/>
      <w:pgMar w:top="1134" w:right="566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97B" w:rsidRDefault="0091297B">
      <w:pPr>
        <w:spacing w:after="0" w:line="240" w:lineRule="auto"/>
      </w:pPr>
      <w:r>
        <w:separator/>
      </w:r>
    </w:p>
  </w:endnote>
  <w:endnote w:type="continuationSeparator" w:id="0">
    <w:p w:rsidR="0091297B" w:rsidRDefault="009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97B" w:rsidRDefault="0091297B">
      <w:pPr>
        <w:spacing w:after="0" w:line="240" w:lineRule="auto"/>
      </w:pPr>
      <w:r>
        <w:separator/>
      </w:r>
    </w:p>
  </w:footnote>
  <w:footnote w:type="continuationSeparator" w:id="0">
    <w:p w:rsidR="0091297B" w:rsidRDefault="0091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CC" w:rsidRDefault="009129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BB4C47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F53E4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930BCC" w:rsidRDefault="00930B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C4DF3"/>
    <w:multiLevelType w:val="multilevel"/>
    <w:tmpl w:val="4EBC0B7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E87601"/>
    <w:multiLevelType w:val="hybridMultilevel"/>
    <w:tmpl w:val="9ADA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CC"/>
    <w:rsid w:val="0091297B"/>
    <w:rsid w:val="00930BCC"/>
    <w:rsid w:val="00BB4C47"/>
    <w:rsid w:val="00E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35A6"/>
  <w15:docId w15:val="{2C55D0C7-5805-4AE4-B09C-9135A8E9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uiPriority w:val="9"/>
    <w:rsid w:val="00563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uiPriority w:val="99"/>
    <w:unhideWhenUsed/>
    <w:rsid w:val="005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uiPriority w:val="34"/>
    <w:qFormat/>
    <w:rsid w:val="00563D4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3D40"/>
    <w:rPr>
      <w:color w:val="0000FF"/>
      <w:u w:val="single"/>
    </w:rPr>
  </w:style>
  <w:style w:type="table" w:styleId="a7">
    <w:name w:val="Table Grid"/>
    <w:basedOn w:val="a1"/>
    <w:uiPriority w:val="59"/>
    <w:rsid w:val="00AF7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link w:val="a9"/>
    <w:uiPriority w:val="99"/>
    <w:semiHidden/>
    <w:unhideWhenUsed/>
    <w:rsid w:val="00EB016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B01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uiPriority w:val="99"/>
    <w:rsid w:val="00AB1EBF"/>
    <w:pPr>
      <w:widowControl w:val="0"/>
      <w:autoSpaceDE w:val="0"/>
      <w:autoSpaceDN w:val="0"/>
      <w:adjustRightInd w:val="0"/>
      <w:spacing w:after="0" w:line="350" w:lineRule="exact"/>
      <w:ind w:firstLine="5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hanging="26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B1EBF"/>
    <w:rPr>
      <w:rFonts w:ascii="Times New Roman" w:hAnsi="Times New Roman" w:cs="Times New Roman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850B28"/>
    <w:rPr>
      <w:color w:val="800080" w:themeColor="followedHyperlink"/>
      <w:u w:val="single"/>
    </w:rPr>
  </w:style>
  <w:style w:type="paragraph" w:styleId="ab">
    <w:name w:val="header"/>
    <w:link w:val="ac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65AA9"/>
  </w:style>
  <w:style w:type="paragraph" w:styleId="ad">
    <w:name w:val="footer"/>
    <w:link w:val="ae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65AA9"/>
  </w:style>
  <w:style w:type="character" w:customStyle="1" w:styleId="20">
    <w:name w:val="Заголовок 2 Знак"/>
    <w:basedOn w:val="a0"/>
    <w:uiPriority w:val="9"/>
    <w:semiHidden/>
    <w:rsid w:val="00D7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pRLxMMN3fNz1G2RBAQPNfsB6PA==">CgMxLjAyDmguYjI0d2hsNWs2azdkMg5oLjhwZzkwcjRwZWFsMzgAciExeHdkNWJ6aGFySEszbVJWSm9MMGtNWmYweUFNMWUwYkY=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2</cp:revision>
  <cp:lastPrinted>2025-10-08T12:02:00Z</cp:lastPrinted>
  <dcterms:created xsi:type="dcterms:W3CDTF">2024-08-02T10:57:00Z</dcterms:created>
  <dcterms:modified xsi:type="dcterms:W3CDTF">2025-10-08T12:03:00Z</dcterms:modified>
</cp:coreProperties>
</file>