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КОМУНАЛЬНИЙ ЗАКЛАД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«ХАРКІВСЬКА СПЕЦІАЛЬНА ШКОЛА № 5» 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ХАРКІВСЬКОЇ ОБЛАСНОЇ РАДИ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НАКАЗ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02.01.2025</w:t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  <w:t xml:space="preserve">  Харків</w:t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  <w:t>№ 5-о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5527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Про підсумки роботи щодо попередження та профілактики правопорушень, злочинності серед неповнолітніх за І семестр 2024/2025 навчального року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На виконання Законів України «Про профілактику правопорушень», «Про освіту», «Про соціальну роботу з сім'ями, дітьм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и та молоддю», «Про охорону дитинства»,</w:t>
      </w:r>
      <w:hyperlink r:id="rId9"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 xml:space="preserve"> «Про внесення змін до деяких законодавчих актів України щодо протидії булінгу (цькуванню)»</w:t>
        </w:r>
      </w:hyperlink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, Указу Президента Ук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раїни від 28.01.2000         № 113/2000 «Про додаткові заходи запобігання дитячій бездоглядності» (зі змінами), наказу Міністерства освіти і науки, молоді та спорту України від 25.11.2011 № 1358 «Про виконання розпорядження Кабінету Міністрів України від 1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2 жовтня 2011 р. № 1039 «Про затвердження плану заходів щодо реалізації Концепції розвитку кримінальної юстиції щодо неповнолітніх в Україні», листів Міністерства освіти та науки України від 11.02.2013 №1/9-96 «Щодо профілактичної роботи з запобігання прав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опорушенням та злочинності серед дітей та учнівської молоді»,</w:t>
      </w:r>
      <w:r w:rsidRPr="00F50E0A">
        <w:rPr>
          <w:rFonts w:eastAsia="Times New Roman" w:cs="Times New Roman"/>
          <w:color w:val="000000"/>
          <w:lang w:val="uk-UA"/>
        </w:rPr>
        <w:t xml:space="preserve"> </w:t>
      </w:r>
      <w:hyperlink r:id="rId10"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>від 29.01</w:t>
        </w:r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>.2019 №1/11-881 «Рекомендації для закладів освіти щодо застосувань норм Закону України щодо протидії булінгу»</w:t>
        </w:r>
      </w:hyperlink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, від 19.11.2024 № 1/21639-24 «Про методичні рекомендації щодо організації виховного процесу в закладах освіти», плану роботи Комунального закладу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«Харківська спеціальна школа № 5» Харківської обласної ради (далі – КЗ «ХСШ № 5» ХОР) на 2024/2025 навчальний рік проведено аналіз роботи з питань попередження та профілактики правопорушень, злочинності серед неповнолітніх за І півріччя 2024/2025 навчально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го року. З метою проведення профілактичної роботи з попередження злочинних проявів серед дітей та учнівської молоді,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Н А К А З У Ю:</w:t>
      </w:r>
    </w:p>
    <w:p w:rsidR="00947AD0" w:rsidRPr="00F50E0A" w:rsidRDefault="00D2102C" w:rsidP="00F50E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Заступнику директора з виховної роботи КЗ «ХСШ № 5» ХОР       Лавриковій Ю.С.: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Довести інформацію про підсумки роботи з попередження та профілактики правопорушень, злочинності серед неповнолітніх за І півріччя 2024/2025 навчального року до відома педагогічних працівників закладу освіти     (додаток 1).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До 10.01.2025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Забезпечити виконання в КЗ «ХСШ № 5» ХОР, в межах компетенції, законів України «Про запобігання та протидію домашньому насильству», «Про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внесення змін до деяких законодавчих актів України щодо протидії булінгу (цькуванню)», наказу Міністерства освіти і нау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ки України від 02.10.2018 № 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Постійно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Забезпечити чітке дотримання вимог Порядку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взаємодії органів державної влади, органів місцевого самоврядування, організацій та установ під час забезпечення соціального захисту вихованців КЗ «ХСШ № 5» ХОР, які перебувають у складних життєвих обставинах, у тому числі таких, що можуть загрожувати їх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життю та здоров’ю, затвердженого постановою Кабінету Міністрів України від 3 жовтня 2018 р. № 800 (зі змінами).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Постійно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Взяти під особистий контроль питання своєчасного інформування Служби у справах дітей по Шевченківському району Департаменту служб у спр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авах дітей Харківської міської ради, сектора ювенальної превенції відділу превенції Харківського РУП № 3 ГУНП в Харківській області про здобувачів освіти (вихованців), які вчиняють насильство, булінг, правопорушення та злочини, не відвідують заняття без по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важних причин; притягнення до відповідальності батьків, які не займаються вихованням дітей, порушують права дітей; виявлення та постановки на облік родин з дітьми, у яких батьки схильні до вживання алкогольних напоїв та наркотичних речовин, вчинення домашн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ього насильства.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Постійно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Забезпечити безумовне виконання постанови Кабінету Міністрів України від 13.09.2017 № 684 «Про затвердження Порядку ведення обліку дітей шкільного віку та учнів»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(зі змінами)</w:t>
      </w:r>
      <w:r w:rsidRPr="00F50E0A">
        <w:rPr>
          <w:rFonts w:eastAsia="Times New Roman" w:cs="Times New Roman"/>
          <w:color w:val="333333"/>
          <w:sz w:val="28"/>
          <w:szCs w:val="28"/>
          <w:highlight w:val="white"/>
          <w:lang w:val="uk-UA"/>
        </w:rPr>
        <w:t xml:space="preserve">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в частині невідкладного надання даних здобувачів освіти, які не досягли повноліття і відсутні на навчальних заняттях протягом 10 робочих днів підряд з невідомих або без поважних причин, відповідному територіальному органу Національної поліції та службі у с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правах дітей для провадження діяльності відповідно до законодавства, пов’язаної із захистом їх прав на здобуття загальної середньої освіти.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ІІ півріччя 2024/2025 н.р.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Забезпечити надання відповідних аналітичних інформацій про стан роботи КЗ «ХСШ №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5» ХОР з вказаних питань до Департаменту науки і освіти Харківської обласної державної адміністрації.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Згідно з планом роботи КЗ «ХСШ № 5» ХОР</w:t>
      </w:r>
    </w:p>
    <w:p w:rsidR="00947AD0" w:rsidRPr="00F50E0A" w:rsidRDefault="00D2102C" w:rsidP="00F50E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Психологічній службі КЗ «ХСШ № 5» ХОР:</w:t>
      </w:r>
    </w:p>
    <w:p w:rsidR="00947AD0" w:rsidRPr="00F50E0A" w:rsidRDefault="00D2102C" w:rsidP="00F50E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Знайомити педагогічних працівників з нормативними документами щодо поперед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ження правопорушень та злочинності серед неповнолітніх.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До 14.02.2025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2.3.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Розміщувати актуальну інформацію на сайті закладу про працівників сектору ювенальної превенції відділу превенції Харківського РУП № 3 ГУНП в Харківській області, закріплених за закладом. Поширити серед учасників освітнього процесу інформацію про Національн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у дитячу «гарячу лінію» - 116-111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До 14.02.2025</w:t>
      </w:r>
    </w:p>
    <w:p w:rsidR="00947AD0" w:rsidRPr="00F50E0A" w:rsidRDefault="00D2102C" w:rsidP="00F50E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Забезпечити проведення профілактичної роботи в рамках Всеукраїнської інформаційної кампанії «Cтоп Булінг» з метою запобігання булінгу у КЗ «ХСШ № 5» ХОР.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ІІ півріччя 2024/2025 н. р.</w:t>
      </w:r>
    </w:p>
    <w:p w:rsidR="00947AD0" w:rsidRPr="00F50E0A" w:rsidRDefault="00D2102C" w:rsidP="00F50E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Забезпечити складання та виконання планів індивідуального психолого-соціально-педагогічного супроводу дітей девіантної поведінки та дітей, які опинилися в складних життєвих обставинах.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ІІ півріччя 2024/2025 н. р.</w:t>
      </w:r>
    </w:p>
    <w:p w:rsidR="00947AD0" w:rsidRPr="00F50E0A" w:rsidRDefault="00D2102C" w:rsidP="00F50E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Класним керівникам, вихователям: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3.1. Проводити профілактичну роботу з учнями, які систематично пропускають онлайн уроки без поважних причин, схильні до вчинення антигромадських дій, вживання спиртних напоїв.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ІІ півріччя 2024/2025 н. р.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3.2. Впроваджувати інтерактивні форми робот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и за навчально-методичним посібником «Організація роботи з розв’язання проблем насильства в школі». Продовжувати проведення роз’яснювальної роботи щодо негативного впливу наркотиків, алкоголю, тютюнопаління на організм дитини.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ІІ півріччя 2023/202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4 н. р.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3.3. Негайно повідомляти керівництво КЗ «ХСШ № 5» ХОР про факти булінгу (цькування) стосовно здобувачів освіти, педагогічних працівників, інших осіб, які залучаються до освітнього процесу, свідком якого вони були особисто або інформацію про які отр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имали від інших осіб. Вживати невідкладних заходів для припинення булінгу (цькування).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Постійно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3.4. Забезпечити проведення соціально-психологічної діяльності, педагогічно зорієнтовану на протидію втягування дітей і молоді в негативні ситуації.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Постійно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6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3.5. Проводити просвітницьку роботу спільно зі фахівцями Служби у справах дітей по Шевченківському району Департаменту служб у справах дітей Харківської міської ради, сектору ювенальної превенції відділу превенції Харківського РУП № 3 ГУНП в Харківській об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ласті, щодо підвищення рівня правової обізнаності батьків про відповідальність за виховання власних дітей та організацію їх змістовного дозвілля, рухової активності та відпочинку в позаурочний час, про дотримання вимог законодавства щодо запобігання булінг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у і домашнього насильства.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2025 року</w:t>
      </w:r>
    </w:p>
    <w:p w:rsidR="00947AD0" w:rsidRPr="00F50E0A" w:rsidRDefault="00D2102C" w:rsidP="00F50E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Контроль за виконанням даного наказу залишаю за собою.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Times New Roman" w:cs="Times New Roman"/>
          <w:color w:val="000000"/>
          <w:sz w:val="16"/>
          <w:szCs w:val="16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Директор закладу</w:t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  <w:t>Олена МІРОШНИК</w:t>
      </w:r>
    </w:p>
    <w:p w:rsidR="00F50E0A" w:rsidRDefault="00F50E0A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50E0A" w:rsidRDefault="00F50E0A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50E0A" w:rsidRDefault="00F50E0A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763" w:left="5529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Додаток до наказу Комунального закладу «Харківська спеціальна школа № 5» Харківської обласної ради від 02.01.2025 № 5-о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Інформація про підсумки роботи Комунального закладу «Харківська спеціальна школа № 5» Харківської обласної ради з попередження та профілактики правопорушень, злочинності  та наркоманії, тютюнопаління, алкоголізму та СНІДу серед здобувачів освіти серед учні</w:t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в (вихованців) за І семестр 2024/2025 навчального року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Робота щодо попередження та профілактики правопорушень, злочинності серед неповнолітніх у КЗ «ХСШ № 5» ХОР протягом І півріччя 2024/2025 навчального року була спрямована на виконання Законів України «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 профілактику правопорушень», «Про освіту», «Про соціальну роботу з сім'ями, дітьми та молоддю», «Про охорону дитинства»,</w:t>
      </w:r>
      <w:hyperlink r:id="rId11"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 xml:space="preserve"> «Про внесення змін до деяк</w:t>
        </w:r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>их законодавчих актів України щодо протидії булінгу (цькуванню)»</w:t>
        </w:r>
      </w:hyperlink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, Указу Президента України від 28.01.2000 № 113/2000 «Про додаткові заходи запобігання дитячій бездоглядності» (зі змінами), наказу Міністерства освіти і науки, молоді та спорту України від 25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.11.2011 № 1358 «Про виконання розпорядження Кабінету Міністрів України від 12 жовтня 2011 р. № 1039 «Про затвердження плану заходів щодо реалізації Концепції розвитку кримінальної юстиції щодо неповнолітніх в Україні», листів Міністерства освіти та науки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України від 11.02.2013 №1/9-96 «Щодо профілактичної роботи з запобігання правопорушенням та злочинності серед дітей та учнівської молоді»,</w:t>
      </w:r>
      <w:r w:rsidRPr="00F50E0A">
        <w:rPr>
          <w:rFonts w:eastAsia="Times New Roman" w:cs="Times New Roman"/>
          <w:color w:val="000000"/>
          <w:lang w:val="uk-UA"/>
        </w:rPr>
        <w:t xml:space="preserve"> </w:t>
      </w:r>
      <w:hyperlink r:id="rId12">
        <w:r w:rsidRPr="00F50E0A">
          <w:rPr>
            <w:rFonts w:eastAsia="Times New Roman" w:cs="Times New Roman"/>
            <w:color w:val="000000"/>
            <w:sz w:val="28"/>
            <w:szCs w:val="28"/>
            <w:lang w:val="uk-UA"/>
          </w:rPr>
          <w:t>від 29.01.2019 №1/11-881 «Рекомендації для закладів освіти щодо застосувань норм Закону України щодо протидії булінгу»</w:t>
        </w:r>
      </w:hyperlink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, від 19.11.2024 № 1/21639-24 «Про методичні рекомендації щодо організ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ації виховного процесу в закладах освіти», згідно з річним планом роботи КЗ «ХСШ № 5» ХОР на 2024/2025 навчальний рік щодо попередження правопорушень, злочинності, насильства, булінгу, запобігання дитячій бездоглядності і жорстокого поводження з дітьми, зд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ійснення правоосвітницької роботи в закладі освіти з учнями (вихованцями) та батьківською громадськістю, роботи з пропаганди здорового способу життя, попередження наркоманії, токсикоманії та СНІДу.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Протягом І семестру 2024/2025 навчального року педагогами закладу освіти здійснювався комплекс організаційно-практичних та профілактичних заходів, спрямованих на профілактику правопорушень, злочинності попередження негативних явищ у дитячому середовищі, а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саме:</w:t>
      </w:r>
    </w:p>
    <w:p w:rsidR="00947AD0" w:rsidRPr="00F50E0A" w:rsidRDefault="00D2102C" w:rsidP="00F50E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1. У вересні-жовтні 2024 року психологічною службою та вихователями проведено Всеукраїнський тиждень протидії булінгу для</w:t>
      </w:r>
      <w:r w:rsidRPr="00F50E0A">
        <w:rPr>
          <w:rFonts w:eastAsia="Times New Roman" w:cs="Times New Roman"/>
          <w:color w:val="2D2C37"/>
          <w:sz w:val="28"/>
          <w:szCs w:val="28"/>
          <w:highlight w:val="white"/>
          <w:lang w:val="uk-UA"/>
        </w:rPr>
        <w:t xml:space="preserve"> учнів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1-12 класів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:</w:t>
      </w:r>
    </w:p>
    <w:p w:rsidR="00947AD0" w:rsidRPr="00F50E0A" w:rsidRDefault="00D2102C" w:rsidP="00F50E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– Інформаційні заходи, присвячені поняттю «булінг» та «кібербулінг», ознакам, методам протидії, наслідкам, інформування про роботу служб, до яких можна звернутися для отримання правової та психологічної допомоги.</w:t>
      </w:r>
    </w:p>
    <w:p w:rsidR="00947AD0" w:rsidRPr="00F50E0A" w:rsidRDefault="00D2102C" w:rsidP="00F50E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(Теми занять: «Що таке булінг? Булінг серед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 xml:space="preserve"> підлітків», «Булінг у дитячому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lastRenderedPageBreak/>
        <w:t>середовищі», «Відповідальність за скоєння фактів булінгу», «Небезпечний інтернет», «Що таке кібербулінг? Як захистити себе від цієї загрози?»).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– Демонстрація відеороликів за посиланнями (Zoom, викладення відповідної інформа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ції на сайті закладу освіти, на сторінці у Фейсбуці та у чатах класів). 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- Інформаційні години «Європейський день боротьби з торгівлею людьми» (жовтень, учні 5-12 кл.).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2. У вересні 2024 року проведено онлайн анкетування класних керівників, та дітей з мето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ю виявлення учнів схильних до правопорушень. За результатами якого здобувачів освіти схильних до правопорушень не виявлено.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3.</w:t>
      </w:r>
      <w:r w:rsidRPr="00F50E0A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У закладі освіти діють за розкладом такі гуртки: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«Ткацтво»;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«Петриківський розпис»;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«Художня кераміка»;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«Модельно-хореографічна студія»;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«Традиційна кулінарія українців»;</w:t>
      </w:r>
    </w:p>
    <w:p w:rsidR="00947AD0" w:rsidRPr="00F50E0A" w:rsidRDefault="00D2102C" w:rsidP="00F50E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 «Юні дизайнери</w:t>
      </w:r>
      <w:r w:rsidRPr="00F50E0A">
        <w:rPr>
          <w:rFonts w:eastAsia="Times New Roman" w:cs="Times New Roman"/>
          <w:color w:val="000000"/>
          <w:sz w:val="24"/>
          <w:szCs w:val="24"/>
          <w:lang w:val="uk-UA"/>
        </w:rPr>
        <w:t>».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FF0000"/>
          <w:sz w:val="28"/>
          <w:szCs w:val="28"/>
          <w:highlight w:val="red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Робота гуртків із здобувачами освіти проводиться у дистанційному форматі. Здобувачі освіти беруть онлайн участь та посідають призові місця у різноманітних конкурсах та фестивалях.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4. Систематично контролюється відвідування здобувачами освіти уроків та вихо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вних заходів закладу у дистанційному режимі.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5. У КЗ «ХCШ № 5» ХОР в межах Всеукраїнської кампанії «16 днів проти насильства» (з 25 листопада по 10 грудня 2024 року) психологічною службою у дистанційному режимі були проведені такі заходи:</w:t>
      </w:r>
    </w:p>
    <w:p w:rsidR="00947AD0" w:rsidRPr="00F50E0A" w:rsidRDefault="00D2102C" w:rsidP="00F50E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лекції-бесіди по класам, які присвячені Всесвітньому Дню Гідності та Свободи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(учні 1-12 кл)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; 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- впровадження антибулінгової програми «Дружній прострір» - «Як ти?» (учні 5-12 кл);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br/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–  тренінг за темою «Як вирішувати конфлікти та будувати мир навколо себе» (у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чні 5-12 кл);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br/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–  захід до Всесвітнього дня толерантності до ВІЛ-позитивних людей (учні 5-12 кл);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br/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 xml:space="preserve">–  ділова гра-диспут «Чи має сучасна жінка терпіти насилля?», яка присвячена до Міжнародного дня боротьби з насильством щодо жінок (учні 5-12 кл); 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br/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–  інформац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ійні години: «Запобігання торгівлі людьми  в умовах війни» та «Міжнародний день відміни рабства» (батьки, педагоги, учні 5-12 кл);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br/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–  загальношкільні заходи  «Доброчесність у школі й повсякденному житті» та «Фінансова грамотність» до Міжнародного дня борот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ьби з корупцією (учні 1-12 кл);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–  заняття за модулем «Знаємо та реалізуємо свої права» (приурочено до Міжнародного дня захисту прав людини) у межах впровадження програми «Сприяння просвітницької роботи «рівний-рівному» серед молоді України».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Психологічною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службою КЗ «ХСШ №5» ХОР зі здобувачами освіти 1-4 класів проводились заняття за темами:</w:t>
      </w:r>
    </w:p>
    <w:p w:rsidR="00947AD0" w:rsidRPr="00F50E0A" w:rsidRDefault="00D2102C" w:rsidP="00F50E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«Хто я? Моя сім’я» (вересень);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</w:p>
    <w:p w:rsidR="00947AD0" w:rsidRPr="00F50E0A" w:rsidRDefault="00D2102C" w:rsidP="00F50E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«Мої потреби. Мої цінності» (жовтень);</w:t>
      </w:r>
    </w:p>
    <w:p w:rsidR="00947AD0" w:rsidRPr="00F50E0A" w:rsidRDefault="00D2102C" w:rsidP="00F50E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«Моя безпека» (листопад);</w:t>
      </w:r>
    </w:p>
    <w:p w:rsidR="00947AD0" w:rsidRPr="00F50E0A" w:rsidRDefault="00D2102C" w:rsidP="00F50E0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«Я знаю, можу, вмію…» (грудень).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У межах впровадження тренінгового курсу «Дорослішай на здоров’я» (Лещу Н.О.) психологічною службою зі здобувачами освіти 10-12 класів були проведені заняття за темами: 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«Цінність життя. Цінності у житті» (вересень).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«Здоров’я – цінність життя» (вересень).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«Емоційний світ людини»</w:t>
      </w:r>
      <w:r w:rsidRPr="00F50E0A">
        <w:rPr>
          <w:rFonts w:eastAsia="Times New Roman" w:cs="Times New Roman"/>
          <w:color w:val="2D2C37"/>
          <w:sz w:val="28"/>
          <w:szCs w:val="28"/>
          <w:highlight w:val="white"/>
          <w:lang w:val="uk-UA"/>
        </w:rPr>
        <w:t xml:space="preserve"> (жовтень).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«Міжособистісна привабливість: дружба, любов, симпатія»</w:t>
      </w:r>
      <w:r w:rsidRPr="00F50E0A">
        <w:rPr>
          <w:rFonts w:eastAsia="Times New Roman" w:cs="Times New Roman"/>
          <w:color w:val="2D2C37"/>
          <w:sz w:val="28"/>
          <w:szCs w:val="28"/>
          <w:highlight w:val="white"/>
          <w:lang w:val="uk-UA"/>
        </w:rPr>
        <w:t xml:space="preserve"> (жовтень).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«Дівчата і хлопці: взаємини»</w:t>
      </w:r>
      <w:r w:rsidRPr="00F50E0A">
        <w:rPr>
          <w:rFonts w:eastAsia="Times New Roman" w:cs="Times New Roman"/>
          <w:color w:val="2D2C37"/>
          <w:sz w:val="28"/>
          <w:szCs w:val="28"/>
          <w:highlight w:val="white"/>
          <w:lang w:val="uk-UA"/>
        </w:rPr>
        <w:t xml:space="preserve"> (листопад).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«Про те, як ти дорослішаєш»</w:t>
      </w:r>
      <w:r w:rsidRPr="00F50E0A">
        <w:rPr>
          <w:rFonts w:eastAsia="Times New Roman" w:cs="Times New Roman"/>
          <w:color w:val="2D2C37"/>
          <w:sz w:val="28"/>
          <w:szCs w:val="28"/>
          <w:highlight w:val="white"/>
          <w:lang w:val="uk-UA"/>
        </w:rPr>
        <w:t xml:space="preserve"> (листопад).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«Репродуктивна система і здоров’я людини (грудень).</w:t>
      </w:r>
    </w:p>
    <w:p w:rsidR="00947AD0" w:rsidRPr="00F50E0A" w:rsidRDefault="00D2102C" w:rsidP="00F50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«Що впливає на репродуктивне здоров’я людини» (грудень)..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ntiqua" w:eastAsia="Antiqua" w:hAnsi="Antiqua" w:cs="Antiqua"/>
          <w:color w:val="FF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У межах впровадження програми «Сприяння просвітницької роботи «рівний-рівному» серед молоді України» у грудні психологічною службою зі здобувачами освіти 5-10 класів були проведені заняття за модуле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м «Знаємо та реалізуємо свої права».</w:t>
      </w:r>
      <w:r w:rsidRPr="00F50E0A">
        <w:rPr>
          <w:rFonts w:ascii="Antiqua" w:eastAsia="Antiqua" w:hAnsi="Antiqua" w:cs="Antiqua"/>
          <w:color w:val="FF0000"/>
          <w:sz w:val="28"/>
          <w:szCs w:val="28"/>
          <w:lang w:val="uk-UA"/>
        </w:rPr>
        <w:t xml:space="preserve"> 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У листопаді 2024 року зі здобувачами освіти з 1-го по 12-й класи психологічною службою проведено заходи за темою: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«Інформування дітей про ризики, пов’язані з мінами та вибухонебезпечними залишками війни»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та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сумісні зах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оди з ГО «Грін-Ланлія» за темою «Безпека під час конфлікту. Готовність та захист у випадку конфлікту».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Протягом І семестру 2024/2025 навчального року щомісяця зі здобувачами освіти з 1-го по 12-й класи психологічною службою проводились заходи з</w:t>
      </w:r>
      <w:r w:rsidRPr="00F50E0A">
        <w:rPr>
          <w:rFonts w:ascii="Antiqua" w:eastAsia="Antiqua" w:hAnsi="Antiqua" w:cs="Antiqua"/>
          <w:color w:val="2D2C37"/>
          <w:sz w:val="28"/>
          <w:szCs w:val="28"/>
          <w:highlight w:val="white"/>
          <w:lang w:val="uk-UA"/>
        </w:rPr>
        <w:t xml:space="preserve"> </w:t>
      </w:r>
      <w:r w:rsidRPr="00F50E0A">
        <w:rPr>
          <w:rFonts w:eastAsia="Times New Roman" w:cs="Times New Roman"/>
          <w:color w:val="000000"/>
          <w:sz w:val="28"/>
          <w:szCs w:val="28"/>
          <w:highlight w:val="white"/>
          <w:lang w:val="uk-UA"/>
        </w:rPr>
        <w:t>психологічної підтримки та підтримки ментального здоровся за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темою: «Ти як?», впроваджувалась програма «Особиста гідність. Безпека життя. Громадянська позиція» серед здобувачів освіти з 8-го по 12-й класи.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Наявний стан правопорушень серед неповнолітніх та криміногенна ситуація в країні вимагає продовження цілеспрямованої системної роботи щодо профілактики негативних проявів серед учнів (вихованців) КЗ «ХСШ № 5» ХОР. Серед актуальних питань, які потребують ре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алізації у 2025 році – проведення профілактичної роботи в рамках всеукраїнської інформаційної кампанії «Cтоп Булінг» з метою запобігання булінгу у КЗ «ХСШ № 5» ХОР, забезпечення виконання Закону України «Про запобігання та протидію домашньому насильству» і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наказу Міністерства освіти і науки України від 02.10.2018 № 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службами», а також проведення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 xml:space="preserve"> антинаркотичної профілактичної роботи.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Заступник директора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tabs>
          <w:tab w:val="left" w:pos="-5954"/>
        </w:tabs>
        <w:spacing w:line="276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>з виховної роботи</w:t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b/>
          <w:color w:val="000000"/>
          <w:sz w:val="28"/>
          <w:szCs w:val="28"/>
          <w:lang w:val="uk-UA"/>
        </w:rPr>
        <w:tab/>
        <w:t>Юлія ЛАВРИКОВА</w:t>
      </w:r>
    </w:p>
    <w:p w:rsidR="00947AD0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50E0A" w:rsidRDefault="00F50E0A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50E0A" w:rsidRPr="00F50E0A" w:rsidRDefault="00F50E0A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Візи: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tbl>
      <w:tblPr>
        <w:tblStyle w:val="af3"/>
        <w:tblW w:w="100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2410"/>
      </w:tblGrid>
      <w:tr w:rsidR="00947AD0" w:rsidRPr="00F50E0A">
        <w:tc>
          <w:tcPr>
            <w:tcW w:w="5637" w:type="dxa"/>
          </w:tcPr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спеціальний школа № 5» Харківської обласної ради</w:t>
            </w: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С. Корсун</w:t>
            </w:r>
          </w:p>
        </w:tc>
      </w:tr>
      <w:tr w:rsidR="00947AD0" w:rsidRPr="00F50E0A">
        <w:trPr>
          <w:trHeight w:val="177"/>
        </w:trPr>
        <w:tc>
          <w:tcPr>
            <w:tcW w:w="5637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47AD0" w:rsidRPr="00F50E0A">
        <w:tc>
          <w:tcPr>
            <w:tcW w:w="5637" w:type="dxa"/>
          </w:tcPr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Ю. Лаврикова</w:t>
            </w:r>
          </w:p>
        </w:tc>
      </w:tr>
      <w:tr w:rsidR="00947AD0" w:rsidRPr="00F50E0A">
        <w:tc>
          <w:tcPr>
            <w:tcW w:w="5637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47AD0" w:rsidRPr="00F50E0A">
        <w:tc>
          <w:tcPr>
            <w:tcW w:w="5637" w:type="dxa"/>
          </w:tcPr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В. Мокрушина</w:t>
            </w:r>
          </w:p>
        </w:tc>
      </w:tr>
      <w:tr w:rsidR="00947AD0" w:rsidRPr="00F50E0A">
        <w:tc>
          <w:tcPr>
            <w:tcW w:w="5637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47AD0" w:rsidRPr="00F50E0A">
        <w:tc>
          <w:tcPr>
            <w:tcW w:w="5637" w:type="dxa"/>
          </w:tcPr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F50E0A">
              <w:rPr>
                <w:rFonts w:eastAsia="Times New Roman" w:cs="Times New Roman"/>
                <w:sz w:val="28"/>
                <w:szCs w:val="28"/>
                <w:lang w:val="uk-UA"/>
              </w:rPr>
              <w:t>читель</w:t>
            </w: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947AD0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47AD0" w:rsidRPr="00F50E0A" w:rsidRDefault="00D2102C" w:rsidP="00F5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F50E0A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Н. Ковальова </w:t>
            </w:r>
          </w:p>
        </w:tc>
      </w:tr>
    </w:tbl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  <w:sectPr w:rsidR="00947AD0" w:rsidRPr="00F50E0A">
          <w:headerReference w:type="default" r:id="rId13"/>
          <w:pgSz w:w="11906" w:h="16838"/>
          <w:pgMar w:top="1134" w:right="567" w:bottom="709" w:left="1701" w:header="708" w:footer="708" w:gutter="0"/>
          <w:pgNumType w:start="1"/>
          <w:cols w:space="720"/>
          <w:titlePg/>
        </w:sect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З наказом ознайомлені</w:t>
      </w:r>
      <w:r w:rsidRPr="00F50E0A">
        <w:rPr>
          <w:rFonts w:eastAsia="Times New Roman" w:cs="Times New Roman"/>
          <w:sz w:val="28"/>
          <w:szCs w:val="28"/>
          <w:lang w:val="uk-UA"/>
        </w:rPr>
        <w:t>:</w:t>
      </w:r>
    </w:p>
    <w:p w:rsidR="00947AD0" w:rsidRPr="00F50E0A" w:rsidRDefault="00947AD0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Кравченко Н.Д.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Єфімова Т.В.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Пазенкова С.В.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Васильченко І.Б.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Андрєєва О.В.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Келеберда М.В.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Баул Н.А.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Шаталова М.О.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Фролова Т.П.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Лемешко В.П.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Когтєв А.В.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Педоренко Л.Л.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Нікітюк Н.О.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Север’янова О.А.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Крюкова З.М.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Клименко Н.М.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Тельцова Н.В.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Белевцова І.М.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Белевцова Ю.П.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Котелевська Н.В.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p w:rsidR="00947AD0" w:rsidRPr="00F50E0A" w:rsidRDefault="00D2102C" w:rsidP="00F50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  <w:sectPr w:rsidR="00947AD0" w:rsidRPr="00F50E0A">
          <w:type w:val="continuous"/>
          <w:pgSz w:w="11906" w:h="16838"/>
          <w:pgMar w:top="1134" w:right="567" w:bottom="1134" w:left="1701" w:header="708" w:footer="708" w:gutter="0"/>
          <w:cols w:num="2" w:space="720" w:equalWidth="0">
            <w:col w:w="4464" w:space="708"/>
            <w:col w:w="4464" w:space="0"/>
          </w:cols>
          <w:titlePg/>
        </w:sect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>Єпіфанова-Кожевнікова Т._______</w:t>
      </w:r>
    </w:p>
    <w:p w:rsidR="00947AD0" w:rsidRPr="00F50E0A" w:rsidRDefault="00D2102C" w:rsidP="00947A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Мосенцева С.О.</w:t>
      </w:r>
      <w:r w:rsidRPr="00F50E0A">
        <w:rPr>
          <w:rFonts w:eastAsia="Times New Roman" w:cs="Times New Roman"/>
          <w:color w:val="000000"/>
          <w:sz w:val="28"/>
          <w:szCs w:val="28"/>
          <w:lang w:val="uk-UA"/>
        </w:rPr>
        <w:tab/>
        <w:t>____________</w:t>
      </w:r>
    </w:p>
    <w:sectPr w:rsidR="00947AD0" w:rsidRPr="00F50E0A">
      <w:headerReference w:type="default" r:id="rId14"/>
      <w:type w:val="continuous"/>
      <w:pgSz w:w="11906" w:h="16838"/>
      <w:pgMar w:top="1134" w:right="566" w:bottom="1135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2C" w:rsidRDefault="00D2102C" w:rsidP="00F50E0A">
      <w:pPr>
        <w:spacing w:line="240" w:lineRule="auto"/>
        <w:ind w:left="0" w:hanging="2"/>
      </w:pPr>
      <w:r>
        <w:separator/>
      </w:r>
    </w:p>
  </w:endnote>
  <w:endnote w:type="continuationSeparator" w:id="0">
    <w:p w:rsidR="00D2102C" w:rsidRDefault="00D2102C" w:rsidP="00F50E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2C" w:rsidRDefault="00D2102C" w:rsidP="00F50E0A">
      <w:pPr>
        <w:spacing w:line="240" w:lineRule="auto"/>
        <w:ind w:left="0" w:hanging="2"/>
      </w:pPr>
      <w:r>
        <w:separator/>
      </w:r>
    </w:p>
  </w:footnote>
  <w:footnote w:type="continuationSeparator" w:id="0">
    <w:p w:rsidR="00D2102C" w:rsidRDefault="00D2102C" w:rsidP="00F50E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D0" w:rsidRDefault="00D2102C" w:rsidP="00F50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 w:rsidR="00F50E0A">
      <w:rPr>
        <w:rFonts w:eastAsia="Times New Roman" w:cs="Times New Roman"/>
        <w:color w:val="000000"/>
      </w:rPr>
      <w:fldChar w:fldCharType="separate"/>
    </w:r>
    <w:r w:rsidR="00F50E0A">
      <w:rPr>
        <w:rFonts w:eastAsia="Times New Roman" w:cs="Times New Roman"/>
        <w:noProof/>
        <w:color w:val="000000"/>
      </w:rPr>
      <w:t>7</w:t>
    </w:r>
    <w:r>
      <w:rPr>
        <w:rFonts w:eastAsia="Times New Roman" w:cs="Times New Roman"/>
        <w:color w:val="000000"/>
      </w:rPr>
      <w:fldChar w:fldCharType="end"/>
    </w:r>
  </w:p>
  <w:p w:rsidR="00947AD0" w:rsidRDefault="00947AD0" w:rsidP="00F50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D0" w:rsidRDefault="00D2102C" w:rsidP="00F50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:rsidR="00947AD0" w:rsidRDefault="00947AD0" w:rsidP="00F50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526"/>
    <w:multiLevelType w:val="multilevel"/>
    <w:tmpl w:val="1D12BB28"/>
    <w:lvl w:ilvl="0">
      <w:start w:val="2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1">
    <w:nsid w:val="28A44784"/>
    <w:multiLevelType w:val="multilevel"/>
    <w:tmpl w:val="A6B8868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5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2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8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C9660A3"/>
    <w:multiLevelType w:val="multilevel"/>
    <w:tmpl w:val="1528DCE2"/>
    <w:lvl w:ilvl="0">
      <w:start w:val="20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50A4F95"/>
    <w:multiLevelType w:val="multilevel"/>
    <w:tmpl w:val="A9B04884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79D1228D"/>
    <w:multiLevelType w:val="multilevel"/>
    <w:tmpl w:val="68F4F4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5">
    <w:nsid w:val="7DB72F5D"/>
    <w:multiLevelType w:val="multilevel"/>
    <w:tmpl w:val="8C1C7798"/>
    <w:lvl w:ilvl="0">
      <w:start w:val="1"/>
      <w:numFmt w:val="decimal"/>
      <w:lvlText w:val="%1)"/>
      <w:lvlJc w:val="left"/>
      <w:pPr>
        <w:ind w:left="822" w:hanging="34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7AD0"/>
    <w:rsid w:val="00947AD0"/>
    <w:rsid w:val="00D2102C"/>
    <w:rsid w:val="00F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rFonts w:eastAsia="Times New Roman"/>
      <w:lang w:val="uk-UA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val="uk-UA" w:eastAsia="ru-RU"/>
    </w:rPr>
  </w:style>
  <w:style w:type="character" w:customStyle="1" w:styleId="20">
    <w:name w:val="Заголовок 2 Знак"/>
    <w:rPr>
      <w:rFonts w:ascii="Arial" w:hAnsi="Arial"/>
      <w:b/>
      <w:i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pPr>
      <w:jc w:val="center"/>
    </w:pPr>
    <w:rPr>
      <w:rFonts w:eastAsia="Times New Roman"/>
      <w:b/>
      <w:bCs/>
      <w:lang w:val="uk-UA"/>
    </w:rPr>
  </w:style>
  <w:style w:type="character" w:customStyle="1" w:styleId="a5">
    <w:name w:val="Основной текст Знак"/>
    <w:rPr>
      <w:rFonts w:ascii="Times New Roman" w:hAnsi="Times New Roman"/>
      <w:b/>
      <w:w w:val="100"/>
      <w:position w:val="-1"/>
      <w:sz w:val="20"/>
      <w:effect w:val="none"/>
      <w:vertAlign w:val="baseline"/>
      <w:cs w:val="0"/>
      <w:em w:val="none"/>
      <w:lang w:val="uk-UA"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eastAsia="Times New Roman"/>
      <w:lang w:val="uk-UA"/>
    </w:rPr>
  </w:style>
  <w:style w:type="character" w:customStyle="1" w:styleId="a7">
    <w:name w:val="Верхний колонтитул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rFonts w:eastAsia="Times New Roman"/>
      <w:lang w:val="uk-UA"/>
    </w:rPr>
  </w:style>
  <w:style w:type="character" w:customStyle="1" w:styleId="a9">
    <w:name w:val="Нижний колонтитул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a">
    <w:name w:val="List Paragraph"/>
    <w:basedOn w:val="a"/>
    <w:pPr>
      <w:ind w:left="720"/>
      <w:contextualSpacing/>
    </w:pPr>
    <w:rPr>
      <w:rFonts w:eastAsia="Times New Roman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rFonts w:eastAsia="Times New Roman"/>
      <w:lang w:val="uk-UA"/>
    </w:rPr>
  </w:style>
  <w:style w:type="character" w:customStyle="1" w:styleId="22">
    <w:name w:val="Основной текст с отступом 2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b">
    <w:name w:val="Balloon Text"/>
    <w:basedOn w:val="a"/>
    <w:rPr>
      <w:rFonts w:ascii="Tahoma" w:eastAsia="Times New Roman" w:hAnsi="Tahoma"/>
      <w:sz w:val="16"/>
      <w:szCs w:val="16"/>
      <w:lang w:val="uk-UA"/>
    </w:rPr>
  </w:style>
  <w:style w:type="character" w:customStyle="1" w:styleId="ac">
    <w:name w:val="Текст выноски Знак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 w:eastAsia="ru-RU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нак Знак Знак Знак Знак1 Знак Знак Знак Знак"/>
    <w:basedOn w:val="a"/>
    <w:pPr>
      <w:spacing w:after="160" w:line="240" w:lineRule="atLeast"/>
    </w:pPr>
    <w:rPr>
      <w:rFonts w:ascii="Verdana" w:eastAsia="MS Mincho" w:hAnsi="Verdana" w:cs="Verdana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сноски Знак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footnote text"/>
    <w:basedOn w:val="a"/>
    <w:rPr>
      <w:rFonts w:ascii="Calibri" w:eastAsia="Times New Roman" w:hAnsi="Calibri"/>
      <w:sz w:val="22"/>
      <w:szCs w:val="22"/>
      <w:lang w:eastAsia="en-US"/>
    </w:rPr>
  </w:style>
  <w:style w:type="character" w:customStyle="1" w:styleId="FootnoteTextChar1">
    <w:name w:val="Footnote Text Char1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val="ru-RU" w:eastAsia="ru-RU"/>
    </w:rPr>
  </w:style>
  <w:style w:type="character" w:customStyle="1" w:styleId="12">
    <w:name w:val="Текст сноски Знак1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customStyle="1" w:styleId="af1">
    <w:name w:val="Нормальний текст"/>
    <w:basedOn w:val="a"/>
    <w:pPr>
      <w:spacing w:before="120"/>
      <w:ind w:firstLine="567"/>
    </w:pPr>
    <w:rPr>
      <w:rFonts w:ascii="Antiqua" w:eastAsia="Times New Roman" w:hAnsi="Antiqua"/>
      <w:sz w:val="26"/>
      <w:lang w:val="uk-UA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rFonts w:eastAsia="Times New Roman"/>
      <w:lang w:val="uk-UA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val="uk-UA" w:eastAsia="ru-RU"/>
    </w:rPr>
  </w:style>
  <w:style w:type="character" w:customStyle="1" w:styleId="20">
    <w:name w:val="Заголовок 2 Знак"/>
    <w:rPr>
      <w:rFonts w:ascii="Arial" w:hAnsi="Arial"/>
      <w:b/>
      <w:i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pPr>
      <w:jc w:val="center"/>
    </w:pPr>
    <w:rPr>
      <w:rFonts w:eastAsia="Times New Roman"/>
      <w:b/>
      <w:bCs/>
      <w:lang w:val="uk-UA"/>
    </w:rPr>
  </w:style>
  <w:style w:type="character" w:customStyle="1" w:styleId="a5">
    <w:name w:val="Основной текст Знак"/>
    <w:rPr>
      <w:rFonts w:ascii="Times New Roman" w:hAnsi="Times New Roman"/>
      <w:b/>
      <w:w w:val="100"/>
      <w:position w:val="-1"/>
      <w:sz w:val="20"/>
      <w:effect w:val="none"/>
      <w:vertAlign w:val="baseline"/>
      <w:cs w:val="0"/>
      <w:em w:val="none"/>
      <w:lang w:val="uk-UA"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eastAsia="Times New Roman"/>
      <w:lang w:val="uk-UA"/>
    </w:rPr>
  </w:style>
  <w:style w:type="character" w:customStyle="1" w:styleId="a7">
    <w:name w:val="Верхний колонтитул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rFonts w:eastAsia="Times New Roman"/>
      <w:lang w:val="uk-UA"/>
    </w:rPr>
  </w:style>
  <w:style w:type="character" w:customStyle="1" w:styleId="a9">
    <w:name w:val="Нижний колонтитул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a">
    <w:name w:val="List Paragraph"/>
    <w:basedOn w:val="a"/>
    <w:pPr>
      <w:ind w:left="720"/>
      <w:contextualSpacing/>
    </w:pPr>
    <w:rPr>
      <w:rFonts w:eastAsia="Times New Roman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rFonts w:eastAsia="Times New Roman"/>
      <w:lang w:val="uk-UA"/>
    </w:rPr>
  </w:style>
  <w:style w:type="character" w:customStyle="1" w:styleId="22">
    <w:name w:val="Основной текст с отступом 2 Знак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b">
    <w:name w:val="Balloon Text"/>
    <w:basedOn w:val="a"/>
    <w:rPr>
      <w:rFonts w:ascii="Tahoma" w:eastAsia="Times New Roman" w:hAnsi="Tahoma"/>
      <w:sz w:val="16"/>
      <w:szCs w:val="16"/>
      <w:lang w:val="uk-UA"/>
    </w:rPr>
  </w:style>
  <w:style w:type="character" w:customStyle="1" w:styleId="ac">
    <w:name w:val="Текст выноски Знак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 w:eastAsia="ru-RU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нак Знак Знак Знак Знак1 Знак Знак Знак Знак"/>
    <w:basedOn w:val="a"/>
    <w:pPr>
      <w:spacing w:after="160" w:line="240" w:lineRule="atLeast"/>
    </w:pPr>
    <w:rPr>
      <w:rFonts w:ascii="Verdana" w:eastAsia="MS Mincho" w:hAnsi="Verdana" w:cs="Verdana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сноски Знак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footnote text"/>
    <w:basedOn w:val="a"/>
    <w:rPr>
      <w:rFonts w:ascii="Calibri" w:eastAsia="Times New Roman" w:hAnsi="Calibri"/>
      <w:sz w:val="22"/>
      <w:szCs w:val="22"/>
      <w:lang w:eastAsia="en-US"/>
    </w:rPr>
  </w:style>
  <w:style w:type="character" w:customStyle="1" w:styleId="FootnoteTextChar1">
    <w:name w:val="Footnote Text Char1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val="ru-RU" w:eastAsia="ru-RU"/>
    </w:rPr>
  </w:style>
  <w:style w:type="character" w:customStyle="1" w:styleId="12">
    <w:name w:val="Текст сноски Знак1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customStyle="1" w:styleId="af1">
    <w:name w:val="Нормальний текст"/>
    <w:basedOn w:val="a"/>
    <w:pPr>
      <w:spacing w:before="120"/>
      <w:ind w:firstLine="567"/>
    </w:pPr>
    <w:rPr>
      <w:rFonts w:ascii="Antiqua" w:eastAsia="Times New Roman" w:hAnsi="Antiqua"/>
      <w:sz w:val="26"/>
      <w:lang w:val="uk-UA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lada.pp.ua/goto/aHR0cDovL3d3dy5zb2lwcG8uZWR1LnVhL2ltYWdlcy8lRDAlOUQlRDAlQkUlRDAlQjIlRDAlQjglRDAlQkQlRDAlQjgvMjAxOS8wMi8wNC9ub3Zvc3QyLzFfMTEtODgxJTIwMS5wZGY=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lada.pp.ua/goto/aHR0cHM6Ly96YWtvbi5yYWRhLmdvdi51YS9sYXdzL3Nob3cvMjY1Ny0xOQ==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lada.pp.ua/goto/aHR0cDovL3d3dy5zb2lwcG8uZWR1LnVhL2ltYWdlcy8lRDAlOUQlRDAlQkUlRDAlQjIlRDAlQjglRDAlQkQlRDAlQjgvMjAxOS8wMi8wNC9ub3Zvc3QyLzFfMTEtODgxJTIwMS5wZGY=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lada.pp.ua/goto/aHR0cHM6Ly96YWtvbi5yYWRhLmdvdi51YS9sYXdzL3Nob3cvMjY1Ny0xOQ==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q5DJZ2dOvWlXUYGjGvOlCGbYQ==">CgMxLjA4AHIhMW1TM0xlQm5Pek8xWGVGUjFSSEpJRDczVUFFc01LTll5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cp:lastPrinted>2025-02-11T13:23:00Z</cp:lastPrinted>
  <dcterms:created xsi:type="dcterms:W3CDTF">2025-01-30T08:14:00Z</dcterms:created>
  <dcterms:modified xsi:type="dcterms:W3CDTF">2025-02-11T13:24:00Z</dcterms:modified>
</cp:coreProperties>
</file>